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CB" w:rsidRPr="00061845" w:rsidRDefault="00061845" w:rsidP="00061845">
      <w:pPr>
        <w:jc w:val="center"/>
        <w:rPr>
          <w:b/>
        </w:rPr>
      </w:pPr>
      <w:r w:rsidRPr="00061845">
        <w:rPr>
          <w:b/>
        </w:rPr>
        <w:t>РОССИЙСКАЯ ФЕДЕРАЦИЯ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ИРКУТСКАЯ ОБЛАСТЬ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УСТЬ-УДИНСКИЙ РАЙОН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АДМИНИСТРАЦИЯ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БАЛАГАНКИНСКОГО МУНИЦИПАЛЬНОГО ОБРАЗОВАНИЯ</w:t>
      </w:r>
    </w:p>
    <w:p w:rsidR="00061845" w:rsidRPr="00061845" w:rsidRDefault="00061845" w:rsidP="00061845">
      <w:pPr>
        <w:jc w:val="center"/>
        <w:rPr>
          <w:b/>
        </w:rPr>
      </w:pP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ПОСТАНОВЛЕНИЕ</w:t>
      </w:r>
    </w:p>
    <w:p w:rsidR="00061845" w:rsidRDefault="00061845"/>
    <w:p w:rsidR="00061845" w:rsidRPr="00061845" w:rsidRDefault="008A5B21">
      <w:pPr>
        <w:rPr>
          <w:b/>
        </w:rPr>
      </w:pPr>
      <w:r>
        <w:rPr>
          <w:b/>
        </w:rPr>
        <w:t>от 14 ноября</w:t>
      </w:r>
      <w:r w:rsidR="00D457DB">
        <w:rPr>
          <w:b/>
        </w:rPr>
        <w:t xml:space="preserve"> 2017</w:t>
      </w:r>
      <w:r w:rsidR="00061845" w:rsidRPr="00061845">
        <w:rPr>
          <w:b/>
        </w:rPr>
        <w:t xml:space="preserve"> г.</w:t>
      </w:r>
      <w:r w:rsidR="00753683">
        <w:rPr>
          <w:b/>
        </w:rPr>
        <w:t xml:space="preserve">                                                                                                 </w:t>
      </w:r>
      <w:r w:rsidR="00061845" w:rsidRPr="00061845">
        <w:rPr>
          <w:b/>
        </w:rPr>
        <w:t xml:space="preserve"> № </w:t>
      </w:r>
      <w:r w:rsidR="00753683">
        <w:rPr>
          <w:b/>
        </w:rPr>
        <w:t>85</w:t>
      </w:r>
    </w:p>
    <w:p w:rsidR="00061845" w:rsidRDefault="00061845">
      <w:r>
        <w:t>с. Балаганка</w:t>
      </w:r>
    </w:p>
    <w:p w:rsidR="00061845" w:rsidRDefault="00061845"/>
    <w:p w:rsidR="00061845" w:rsidRPr="006E1E7A" w:rsidRDefault="00061845">
      <w:pPr>
        <w:rPr>
          <w:b/>
        </w:rPr>
      </w:pPr>
      <w:bookmarkStart w:id="0" w:name="_GoBack"/>
      <w:r w:rsidRPr="006E1E7A">
        <w:rPr>
          <w:b/>
        </w:rPr>
        <w:t>«Об одобрении Прогноза социально-экономического развития</w:t>
      </w:r>
    </w:p>
    <w:p w:rsidR="00061845" w:rsidRPr="006E1E7A" w:rsidRDefault="00061845">
      <w:pPr>
        <w:rPr>
          <w:b/>
        </w:rPr>
      </w:pPr>
      <w:r w:rsidRPr="006E1E7A">
        <w:rPr>
          <w:b/>
        </w:rPr>
        <w:t>Балаганкинского муниципального образования на 201</w:t>
      </w:r>
      <w:r w:rsidR="00753683">
        <w:rPr>
          <w:b/>
        </w:rPr>
        <w:t>8</w:t>
      </w:r>
      <w:r w:rsidR="003D531E" w:rsidRPr="006E1E7A">
        <w:rPr>
          <w:b/>
        </w:rPr>
        <w:t xml:space="preserve"> год и плановый период 201</w:t>
      </w:r>
      <w:r w:rsidR="00753683">
        <w:rPr>
          <w:b/>
        </w:rPr>
        <w:t xml:space="preserve">9 </w:t>
      </w:r>
      <w:r w:rsidR="003D531E" w:rsidRPr="006E1E7A">
        <w:rPr>
          <w:b/>
        </w:rPr>
        <w:t>и 20</w:t>
      </w:r>
      <w:r w:rsidR="00753683">
        <w:rPr>
          <w:b/>
        </w:rPr>
        <w:t>20</w:t>
      </w:r>
      <w:r w:rsidR="003D531E" w:rsidRPr="006E1E7A">
        <w:rPr>
          <w:b/>
        </w:rPr>
        <w:t xml:space="preserve"> годов</w:t>
      </w:r>
      <w:r w:rsidRPr="006E1E7A">
        <w:rPr>
          <w:b/>
        </w:rPr>
        <w:t>»</w:t>
      </w:r>
    </w:p>
    <w:bookmarkEnd w:id="0"/>
    <w:p w:rsidR="00061845" w:rsidRDefault="00061845"/>
    <w:p w:rsidR="00061845" w:rsidRDefault="00061845" w:rsidP="00061845">
      <w:pPr>
        <w:pStyle w:val="1"/>
        <w:shd w:val="clear" w:color="auto" w:fill="auto"/>
        <w:ind w:right="340"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Руководствуясь статьей 173 Бюджетного кодекса Российской Федерации, Положением о Бюджетном  процессе в Балаганкинском муниципальном образовании, </w:t>
      </w:r>
      <w:proofErr w:type="gramStart"/>
      <w:r>
        <w:rPr>
          <w:color w:val="000000"/>
          <w:sz w:val="24"/>
          <w:szCs w:val="24"/>
          <w:lang w:eastAsia="ru-RU" w:bidi="ru-RU"/>
        </w:rPr>
        <w:t>утвержденное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решением Думы Балаганкинского сельского поселения 25 апреля 2014 года № 10/3-ДП</w:t>
      </w:r>
    </w:p>
    <w:p w:rsidR="00061845" w:rsidRPr="00061845" w:rsidRDefault="00061845" w:rsidP="00061845">
      <w:pPr>
        <w:pStyle w:val="1"/>
        <w:shd w:val="clear" w:color="auto" w:fill="auto"/>
        <w:ind w:right="340" w:firstLine="708"/>
        <w:rPr>
          <w:b/>
          <w:color w:val="000000"/>
          <w:sz w:val="24"/>
          <w:szCs w:val="24"/>
          <w:lang w:eastAsia="ru-RU" w:bidi="ru-RU"/>
        </w:rPr>
      </w:pPr>
      <w:r w:rsidRPr="00061845">
        <w:rPr>
          <w:b/>
          <w:color w:val="000000"/>
          <w:sz w:val="24"/>
          <w:szCs w:val="24"/>
          <w:lang w:eastAsia="ru-RU" w:bidi="ru-RU"/>
        </w:rPr>
        <w:t>ПОСТАНОВЛЯЮ</w:t>
      </w:r>
    </w:p>
    <w:p w:rsidR="00061845" w:rsidRPr="003D531E" w:rsidRDefault="00061845" w:rsidP="003D531E">
      <w:r>
        <w:rPr>
          <w:color w:val="000000"/>
          <w:lang w:bidi="ru-RU"/>
        </w:rPr>
        <w:t>1.</w:t>
      </w:r>
      <w:r w:rsidRPr="00DB687D">
        <w:rPr>
          <w:color w:val="000000"/>
          <w:lang w:bidi="ru-RU"/>
        </w:rPr>
        <w:t xml:space="preserve"> Одобрить прилагаемый Прогноз социально-экономического развития </w:t>
      </w:r>
      <w:r>
        <w:rPr>
          <w:color w:val="000000"/>
          <w:lang w:bidi="ru-RU"/>
        </w:rPr>
        <w:t xml:space="preserve">Балаганкинского </w:t>
      </w:r>
      <w:r w:rsidRPr="00DB687D">
        <w:rPr>
          <w:color w:val="000000"/>
          <w:lang w:bidi="ru-RU"/>
        </w:rPr>
        <w:t xml:space="preserve">муниципального образования </w:t>
      </w:r>
      <w:r w:rsidR="003D531E">
        <w:t>на 201</w:t>
      </w:r>
      <w:r w:rsidR="00753683">
        <w:t>8</w:t>
      </w:r>
      <w:r w:rsidR="003D531E">
        <w:t xml:space="preserve"> год и плановый период 201</w:t>
      </w:r>
      <w:r w:rsidR="00753683">
        <w:t>9</w:t>
      </w:r>
      <w:r w:rsidR="003D531E">
        <w:t xml:space="preserve"> и 20</w:t>
      </w:r>
      <w:r w:rsidR="00753683">
        <w:t>20</w:t>
      </w:r>
      <w:r w:rsidR="003D531E">
        <w:t xml:space="preserve"> годов»</w:t>
      </w:r>
    </w:p>
    <w:p w:rsidR="003D531E" w:rsidRDefault="00061845" w:rsidP="003D531E">
      <w:r>
        <w:rPr>
          <w:color w:val="000000"/>
          <w:lang w:bidi="ru-RU"/>
        </w:rPr>
        <w:t xml:space="preserve">2. </w:t>
      </w:r>
      <w:r w:rsidRPr="00DB687D">
        <w:rPr>
          <w:color w:val="000000"/>
          <w:lang w:bidi="ru-RU"/>
        </w:rPr>
        <w:t xml:space="preserve"> Направить</w:t>
      </w:r>
      <w:r>
        <w:rPr>
          <w:color w:val="000000"/>
          <w:lang w:bidi="ru-RU"/>
        </w:rPr>
        <w:t xml:space="preserve"> Прогноз социально-экономического развития Балаганкинского муниципального образования </w:t>
      </w:r>
      <w:r w:rsidR="003D531E">
        <w:t>на 201</w:t>
      </w:r>
      <w:r w:rsidR="00753683">
        <w:t>8</w:t>
      </w:r>
      <w:r w:rsidR="003D531E">
        <w:t xml:space="preserve"> год и плановый период 201</w:t>
      </w:r>
      <w:r w:rsidR="00753683">
        <w:t>9</w:t>
      </w:r>
      <w:r w:rsidR="003D531E">
        <w:t xml:space="preserve"> и 20</w:t>
      </w:r>
      <w:r w:rsidR="00753683">
        <w:t>20</w:t>
      </w:r>
      <w:r w:rsidR="003D531E">
        <w:t xml:space="preserve"> годов»</w:t>
      </w: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одновременно с проектом решения о бюджете Балаганкинского сельского поселения на </w:t>
      </w:r>
      <w:r w:rsidR="00EC6E17">
        <w:rPr>
          <w:color w:val="000000"/>
          <w:sz w:val="24"/>
          <w:szCs w:val="24"/>
          <w:lang w:eastAsia="ru-RU" w:bidi="ru-RU"/>
        </w:rPr>
        <w:t>201</w:t>
      </w:r>
      <w:r w:rsidR="00753683">
        <w:rPr>
          <w:color w:val="000000"/>
          <w:sz w:val="24"/>
          <w:szCs w:val="24"/>
          <w:lang w:eastAsia="ru-RU" w:bidi="ru-RU"/>
        </w:rPr>
        <w:t>8</w:t>
      </w:r>
      <w:r>
        <w:rPr>
          <w:color w:val="000000"/>
          <w:sz w:val="24"/>
          <w:szCs w:val="24"/>
          <w:lang w:eastAsia="ru-RU" w:bidi="ru-RU"/>
        </w:rPr>
        <w:t xml:space="preserve"> год</w:t>
      </w:r>
      <w:r w:rsidR="00EC6E17">
        <w:rPr>
          <w:color w:val="000000"/>
          <w:sz w:val="24"/>
          <w:szCs w:val="24"/>
          <w:lang w:eastAsia="ru-RU" w:bidi="ru-RU"/>
        </w:rPr>
        <w:t xml:space="preserve"> и плановый период 201</w:t>
      </w:r>
      <w:r w:rsidR="00753683">
        <w:rPr>
          <w:color w:val="000000"/>
          <w:sz w:val="24"/>
          <w:szCs w:val="24"/>
          <w:lang w:eastAsia="ru-RU" w:bidi="ru-RU"/>
        </w:rPr>
        <w:t>9</w:t>
      </w:r>
      <w:r w:rsidR="00EC6E17">
        <w:rPr>
          <w:color w:val="000000"/>
          <w:sz w:val="24"/>
          <w:szCs w:val="24"/>
          <w:lang w:eastAsia="ru-RU" w:bidi="ru-RU"/>
        </w:rPr>
        <w:t xml:space="preserve"> и 20</w:t>
      </w:r>
      <w:r w:rsidR="00753683">
        <w:rPr>
          <w:color w:val="000000"/>
          <w:sz w:val="24"/>
          <w:szCs w:val="24"/>
          <w:lang w:eastAsia="ru-RU" w:bidi="ru-RU"/>
        </w:rPr>
        <w:t>20</w:t>
      </w:r>
      <w:r w:rsidR="00EC6E17">
        <w:rPr>
          <w:color w:val="000000"/>
          <w:sz w:val="24"/>
          <w:szCs w:val="24"/>
          <w:lang w:eastAsia="ru-RU" w:bidi="ru-RU"/>
        </w:rPr>
        <w:t xml:space="preserve"> годов</w:t>
      </w:r>
      <w:r>
        <w:rPr>
          <w:color w:val="000000"/>
          <w:sz w:val="24"/>
          <w:szCs w:val="24"/>
          <w:lang w:eastAsia="ru-RU" w:bidi="ru-RU"/>
        </w:rPr>
        <w:t xml:space="preserve"> в Думу Балаганкинского сельского поселения</w:t>
      </w:r>
      <w:r w:rsidRPr="00DB687D">
        <w:rPr>
          <w:color w:val="000000"/>
          <w:sz w:val="24"/>
          <w:szCs w:val="24"/>
          <w:lang w:eastAsia="ru-RU" w:bidi="ru-RU"/>
        </w:rPr>
        <w:t>.</w:t>
      </w: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3. </w:t>
      </w:r>
      <w:r w:rsidRPr="00DB687D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</w:t>
      </w: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Глава администрации</w:t>
      </w: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Балаганкинского сельского поселения                            _____________     О.И. Шарапова</w:t>
      </w:r>
    </w:p>
    <w:p w:rsidR="00774C81" w:rsidRDefault="00774C81"/>
    <w:p w:rsidR="00774C81" w:rsidRDefault="00774C81">
      <w:pPr>
        <w:spacing w:after="200" w:line="276" w:lineRule="auto"/>
      </w:pPr>
      <w:r>
        <w:br w:type="page"/>
      </w:r>
    </w:p>
    <w:p w:rsidR="00774C81" w:rsidRPr="00160EA1" w:rsidRDefault="00774C81" w:rsidP="00774C81">
      <w:pPr>
        <w:jc w:val="center"/>
        <w:rPr>
          <w:rFonts w:ascii="Arial" w:hAnsi="Arial" w:cs="Arial"/>
          <w:b/>
        </w:rPr>
      </w:pPr>
      <w:r w:rsidRPr="00160EA1">
        <w:rPr>
          <w:rFonts w:ascii="Arial" w:hAnsi="Arial" w:cs="Arial"/>
          <w:b/>
        </w:rPr>
        <w:lastRenderedPageBreak/>
        <w:t>ПОЯСНИТЕЛЬНАЯ ЗАПИСКА</w:t>
      </w:r>
    </w:p>
    <w:p w:rsidR="00774C81" w:rsidRPr="00160EA1" w:rsidRDefault="00774C81" w:rsidP="00774C81">
      <w:pPr>
        <w:jc w:val="center"/>
        <w:rPr>
          <w:rFonts w:ascii="Arial" w:hAnsi="Arial" w:cs="Arial"/>
          <w:b/>
        </w:rPr>
      </w:pPr>
      <w:r w:rsidRPr="00160EA1">
        <w:rPr>
          <w:rFonts w:ascii="Arial" w:hAnsi="Arial" w:cs="Arial"/>
          <w:b/>
        </w:rPr>
        <w:t>к проекту решения Думы поселения</w:t>
      </w:r>
    </w:p>
    <w:p w:rsidR="00774C81" w:rsidRPr="00160EA1" w:rsidRDefault="00774C81" w:rsidP="00774C81">
      <w:pPr>
        <w:jc w:val="center"/>
        <w:rPr>
          <w:rFonts w:ascii="Arial" w:hAnsi="Arial" w:cs="Arial"/>
          <w:b/>
        </w:rPr>
      </w:pPr>
      <w:r w:rsidRPr="00160EA1">
        <w:rPr>
          <w:rFonts w:ascii="Arial" w:hAnsi="Arial" w:cs="Arial"/>
          <w:b/>
        </w:rPr>
        <w:t xml:space="preserve"> «О бюджете </w:t>
      </w:r>
      <w:r>
        <w:rPr>
          <w:rFonts w:ascii="Arial" w:hAnsi="Arial" w:cs="Arial"/>
          <w:b/>
        </w:rPr>
        <w:t>Балаганкинского сельского поселения</w:t>
      </w:r>
      <w:r w:rsidRPr="00160EA1">
        <w:rPr>
          <w:rFonts w:ascii="Arial" w:hAnsi="Arial" w:cs="Arial"/>
          <w:b/>
        </w:rPr>
        <w:t xml:space="preserve"> на 201</w:t>
      </w:r>
      <w:r>
        <w:rPr>
          <w:rFonts w:ascii="Arial" w:hAnsi="Arial" w:cs="Arial"/>
          <w:b/>
        </w:rPr>
        <w:t xml:space="preserve">8 </w:t>
      </w:r>
      <w:r w:rsidRPr="00160EA1">
        <w:rPr>
          <w:rFonts w:ascii="Arial" w:hAnsi="Arial" w:cs="Arial"/>
          <w:b/>
        </w:rPr>
        <w:t xml:space="preserve">год и </w:t>
      </w:r>
    </w:p>
    <w:p w:rsidR="00774C81" w:rsidRPr="00160EA1" w:rsidRDefault="00774C81" w:rsidP="00774C81">
      <w:pPr>
        <w:jc w:val="center"/>
        <w:rPr>
          <w:rFonts w:ascii="Arial" w:hAnsi="Arial" w:cs="Arial"/>
          <w:b/>
        </w:rPr>
      </w:pPr>
      <w:r w:rsidRPr="00160EA1">
        <w:rPr>
          <w:rFonts w:ascii="Arial" w:hAnsi="Arial" w:cs="Arial"/>
          <w:b/>
        </w:rPr>
        <w:t>на плановый период 201</w:t>
      </w:r>
      <w:r>
        <w:rPr>
          <w:rFonts w:ascii="Arial" w:hAnsi="Arial" w:cs="Arial"/>
          <w:b/>
        </w:rPr>
        <w:t>9</w:t>
      </w:r>
      <w:r w:rsidRPr="00160EA1">
        <w:rPr>
          <w:rFonts w:ascii="Arial" w:hAnsi="Arial" w:cs="Arial"/>
          <w:b/>
        </w:rPr>
        <w:t xml:space="preserve"> и 20</w:t>
      </w:r>
      <w:r>
        <w:rPr>
          <w:rFonts w:ascii="Arial" w:hAnsi="Arial" w:cs="Arial"/>
          <w:b/>
        </w:rPr>
        <w:t>20</w:t>
      </w:r>
      <w:r w:rsidRPr="00160EA1">
        <w:rPr>
          <w:rFonts w:ascii="Arial" w:hAnsi="Arial" w:cs="Arial"/>
          <w:b/>
        </w:rPr>
        <w:t xml:space="preserve"> годов»</w:t>
      </w:r>
    </w:p>
    <w:p w:rsidR="00774C81" w:rsidRPr="0068549F" w:rsidRDefault="00774C81" w:rsidP="00774C81">
      <w:pPr>
        <w:pStyle w:val="a9"/>
        <w:ind w:firstLine="709"/>
        <w:jc w:val="both"/>
        <w:rPr>
          <w:rFonts w:ascii="Arial" w:hAnsi="Arial" w:cs="Arial"/>
          <w:sz w:val="22"/>
          <w:szCs w:val="22"/>
        </w:rPr>
      </w:pPr>
      <w:r w:rsidRPr="00C73AC2">
        <w:rPr>
          <w:rFonts w:ascii="Arial" w:hAnsi="Arial" w:cs="Arial"/>
          <w:sz w:val="24"/>
          <w:szCs w:val="24"/>
        </w:rPr>
        <w:t xml:space="preserve"> </w:t>
      </w:r>
      <w:r w:rsidRPr="0068549F">
        <w:rPr>
          <w:rFonts w:ascii="Arial" w:hAnsi="Arial" w:cs="Arial"/>
          <w:sz w:val="22"/>
          <w:szCs w:val="22"/>
        </w:rPr>
        <w:t>Проект бюджета подготовлен в соответствии с требованиями Бюджетного кодекса Российской Федерации и Положения о бюджетном процессе Балаганкинского муниципального образования.</w:t>
      </w:r>
    </w:p>
    <w:p w:rsidR="00774C81" w:rsidRPr="0068549F" w:rsidRDefault="00774C81" w:rsidP="00774C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Формирование основных параметров местного бюджета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и на плановый период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и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года изменений. </w:t>
      </w:r>
    </w:p>
    <w:p w:rsidR="00774C81" w:rsidRPr="0068549F" w:rsidRDefault="00774C81" w:rsidP="00774C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Основные параметры прогноза поступлений местного бюджета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и на плановый период 20</w:t>
      </w:r>
      <w:r>
        <w:rPr>
          <w:rFonts w:ascii="Arial" w:hAnsi="Arial" w:cs="Arial"/>
          <w:sz w:val="22"/>
          <w:szCs w:val="22"/>
        </w:rPr>
        <w:t>19</w:t>
      </w:r>
      <w:r w:rsidRPr="0068549F">
        <w:rPr>
          <w:rFonts w:ascii="Arial" w:hAnsi="Arial" w:cs="Arial"/>
          <w:sz w:val="22"/>
          <w:szCs w:val="22"/>
        </w:rPr>
        <w:t xml:space="preserve"> и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годов сформированы в следующих объемах:</w:t>
      </w:r>
    </w:p>
    <w:p w:rsidR="00774C81" w:rsidRPr="0068549F" w:rsidRDefault="00774C81" w:rsidP="00774C8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(тыс. рублей)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2178"/>
        <w:gridCol w:w="1800"/>
        <w:gridCol w:w="1980"/>
      </w:tblGrid>
      <w:tr w:rsidR="00774C81" w:rsidRPr="0068549F" w:rsidTr="00375C83">
        <w:tc>
          <w:tcPr>
            <w:tcW w:w="441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178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8549F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8549F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68549F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774C81" w:rsidRPr="0068549F" w:rsidTr="00375C83">
        <w:tc>
          <w:tcPr>
            <w:tcW w:w="441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 xml:space="preserve">Доходы, </w:t>
            </w:r>
            <w:r w:rsidRPr="0068549F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2178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4464,9</w:t>
            </w:r>
          </w:p>
        </w:tc>
        <w:tc>
          <w:tcPr>
            <w:tcW w:w="180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3811,0</w:t>
            </w:r>
          </w:p>
        </w:tc>
        <w:tc>
          <w:tcPr>
            <w:tcW w:w="198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2649,9</w:t>
            </w:r>
          </w:p>
        </w:tc>
      </w:tr>
      <w:tr w:rsidR="00774C81" w:rsidRPr="0068549F" w:rsidTr="00375C83">
        <w:tc>
          <w:tcPr>
            <w:tcW w:w="441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78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366,6</w:t>
            </w:r>
          </w:p>
        </w:tc>
        <w:tc>
          <w:tcPr>
            <w:tcW w:w="180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385,6</w:t>
            </w:r>
          </w:p>
        </w:tc>
        <w:tc>
          <w:tcPr>
            <w:tcW w:w="198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392,2</w:t>
            </w:r>
          </w:p>
        </w:tc>
      </w:tr>
      <w:tr w:rsidR="00774C81" w:rsidRPr="0068549F" w:rsidTr="00375C83">
        <w:tc>
          <w:tcPr>
            <w:tcW w:w="441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178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4098,3</w:t>
            </w:r>
          </w:p>
        </w:tc>
        <w:tc>
          <w:tcPr>
            <w:tcW w:w="180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3425,4</w:t>
            </w:r>
          </w:p>
        </w:tc>
        <w:tc>
          <w:tcPr>
            <w:tcW w:w="198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3450,1</w:t>
            </w:r>
          </w:p>
        </w:tc>
      </w:tr>
      <w:tr w:rsidR="00774C81" w:rsidRPr="0068549F" w:rsidTr="00375C83">
        <w:tc>
          <w:tcPr>
            <w:tcW w:w="441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Расходы,</w:t>
            </w:r>
            <w:r w:rsidRPr="0068549F">
              <w:rPr>
                <w:rFonts w:ascii="Arial" w:hAnsi="Arial" w:cs="Arial"/>
                <w:sz w:val="22"/>
                <w:szCs w:val="22"/>
              </w:rPr>
              <w:t xml:space="preserve"> в том числе:</w:t>
            </w:r>
          </w:p>
        </w:tc>
        <w:tc>
          <w:tcPr>
            <w:tcW w:w="2178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4464,9</w:t>
            </w:r>
          </w:p>
        </w:tc>
        <w:tc>
          <w:tcPr>
            <w:tcW w:w="180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3811,0</w:t>
            </w:r>
          </w:p>
        </w:tc>
        <w:tc>
          <w:tcPr>
            <w:tcW w:w="198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3842,3</w:t>
            </w:r>
          </w:p>
        </w:tc>
      </w:tr>
      <w:tr w:rsidR="00774C81" w:rsidRPr="0068549F" w:rsidTr="00375C83">
        <w:tc>
          <w:tcPr>
            <w:tcW w:w="441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178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74C81" w:rsidRPr="0068549F" w:rsidTr="00375C83">
        <w:tc>
          <w:tcPr>
            <w:tcW w:w="441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  <w:sz w:val="22"/>
                <w:szCs w:val="22"/>
              </w:rPr>
              <w:t>Доля условно утвержденных расходов в общем объеме расходов</w:t>
            </w:r>
          </w:p>
        </w:tc>
        <w:tc>
          <w:tcPr>
            <w:tcW w:w="2178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74C81" w:rsidRPr="0068549F" w:rsidTr="00375C83">
        <w:tc>
          <w:tcPr>
            <w:tcW w:w="441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Дефицит</w:t>
            </w:r>
          </w:p>
        </w:tc>
        <w:tc>
          <w:tcPr>
            <w:tcW w:w="2178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198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</w:tr>
      <w:tr w:rsidR="00774C81" w:rsidRPr="0068549F" w:rsidTr="00375C83">
        <w:tc>
          <w:tcPr>
            <w:tcW w:w="441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  <w:sz w:val="22"/>
                <w:szCs w:val="22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178" w:type="dxa"/>
            <w:vAlign w:val="center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74C81" w:rsidRPr="0068549F" w:rsidTr="00375C83">
        <w:tc>
          <w:tcPr>
            <w:tcW w:w="441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Верхний предел муниципального долга</w:t>
            </w:r>
          </w:p>
        </w:tc>
        <w:tc>
          <w:tcPr>
            <w:tcW w:w="2178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198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</w:tr>
      <w:tr w:rsidR="00774C81" w:rsidRPr="0068549F" w:rsidTr="00375C83">
        <w:tc>
          <w:tcPr>
            <w:tcW w:w="441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Резервный фонд Администрации Балаганкинского сельского поселения</w:t>
            </w:r>
          </w:p>
        </w:tc>
        <w:tc>
          <w:tcPr>
            <w:tcW w:w="2178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5,0</w:t>
            </w:r>
          </w:p>
        </w:tc>
        <w:tc>
          <w:tcPr>
            <w:tcW w:w="180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5,0</w:t>
            </w:r>
          </w:p>
        </w:tc>
        <w:tc>
          <w:tcPr>
            <w:tcW w:w="1980" w:type="dxa"/>
          </w:tcPr>
          <w:p w:rsidR="00774C81" w:rsidRPr="0068549F" w:rsidRDefault="00774C81" w:rsidP="00375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8549F">
              <w:rPr>
                <w:rFonts w:ascii="Arial" w:hAnsi="Arial" w:cs="Arial"/>
                <w:b/>
                <w:sz w:val="22"/>
                <w:szCs w:val="22"/>
              </w:rPr>
              <w:t>5,0</w:t>
            </w:r>
          </w:p>
        </w:tc>
      </w:tr>
    </w:tbl>
    <w:p w:rsidR="00774C81" w:rsidRPr="0068549F" w:rsidRDefault="00774C81" w:rsidP="00774C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774C81" w:rsidRPr="0068549F" w:rsidRDefault="00774C81" w:rsidP="00774C81">
      <w:pPr>
        <w:pStyle w:val="9"/>
        <w:jc w:val="center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ДОХОДЫ МЕСТНОГО БЮДЖЕТА</w:t>
      </w:r>
    </w:p>
    <w:p w:rsidR="00774C81" w:rsidRPr="0068549F" w:rsidRDefault="00774C81" w:rsidP="00774C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При подготовке прогноза доходов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и на плановый период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и 20</w:t>
      </w:r>
      <w:r>
        <w:rPr>
          <w:rFonts w:ascii="Arial" w:hAnsi="Arial" w:cs="Arial"/>
          <w:sz w:val="22"/>
          <w:szCs w:val="22"/>
        </w:rPr>
        <w:t xml:space="preserve">20 </w:t>
      </w:r>
      <w:r w:rsidRPr="0068549F">
        <w:rPr>
          <w:rFonts w:ascii="Arial" w:hAnsi="Arial" w:cs="Arial"/>
          <w:sz w:val="22"/>
          <w:szCs w:val="22"/>
        </w:rPr>
        <w:t xml:space="preserve">годов  </w:t>
      </w:r>
      <w:proofErr w:type="gramStart"/>
      <w:r w:rsidRPr="0068549F">
        <w:rPr>
          <w:rFonts w:ascii="Arial" w:hAnsi="Arial" w:cs="Arial"/>
          <w:sz w:val="22"/>
          <w:szCs w:val="22"/>
        </w:rPr>
        <w:t>учтены</w:t>
      </w:r>
      <w:proofErr w:type="gramEnd"/>
      <w:r w:rsidRPr="0068549F">
        <w:rPr>
          <w:rFonts w:ascii="Arial" w:hAnsi="Arial" w:cs="Arial"/>
          <w:sz w:val="22"/>
          <w:szCs w:val="22"/>
        </w:rPr>
        <w:t>: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- проект закона Иркутской области «Об областном бюджете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и на плановый период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и 20</w:t>
      </w:r>
      <w:r>
        <w:rPr>
          <w:rFonts w:ascii="Arial" w:hAnsi="Arial" w:cs="Arial"/>
          <w:sz w:val="22"/>
          <w:szCs w:val="22"/>
        </w:rPr>
        <w:t xml:space="preserve">20 </w:t>
      </w:r>
      <w:r w:rsidRPr="0068549F">
        <w:rPr>
          <w:rFonts w:ascii="Arial" w:hAnsi="Arial" w:cs="Arial"/>
          <w:sz w:val="22"/>
          <w:szCs w:val="22"/>
        </w:rPr>
        <w:t xml:space="preserve">годов» 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- проект бюджета МО «Усть-Удинский район»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>год и на плановый период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и 20</w:t>
      </w:r>
      <w:r>
        <w:rPr>
          <w:rFonts w:ascii="Arial" w:hAnsi="Arial" w:cs="Arial"/>
          <w:sz w:val="22"/>
          <w:szCs w:val="22"/>
        </w:rPr>
        <w:t>20 годов</w:t>
      </w:r>
      <w:r w:rsidRPr="0068549F">
        <w:rPr>
          <w:rFonts w:ascii="Arial" w:hAnsi="Arial" w:cs="Arial"/>
          <w:sz w:val="22"/>
          <w:szCs w:val="22"/>
        </w:rPr>
        <w:t xml:space="preserve">. 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Прогноз доходов местного бюджета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и на плановый период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и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годов осуществлен на основании прогноза социально-экономического развития Балаганкинского муниципального образования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плановый период 2019 и</w:t>
      </w:r>
      <w:r w:rsidRPr="0068549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 годов</w:t>
      </w:r>
      <w:r w:rsidRPr="0068549F">
        <w:rPr>
          <w:rFonts w:ascii="Arial" w:hAnsi="Arial" w:cs="Arial"/>
          <w:sz w:val="22"/>
          <w:szCs w:val="22"/>
        </w:rPr>
        <w:t>.</w:t>
      </w:r>
    </w:p>
    <w:p w:rsidR="00774C81" w:rsidRPr="0068549F" w:rsidRDefault="00774C81" w:rsidP="00774C81">
      <w:pPr>
        <w:pStyle w:val="ab"/>
        <w:ind w:firstLine="0"/>
        <w:rPr>
          <w:rFonts w:ascii="Arial" w:hAnsi="Arial" w:cs="Arial"/>
          <w:b w:val="0"/>
          <w:sz w:val="22"/>
          <w:szCs w:val="22"/>
        </w:rPr>
      </w:pPr>
      <w:r w:rsidRPr="0068549F">
        <w:rPr>
          <w:rFonts w:ascii="Arial" w:hAnsi="Arial" w:cs="Arial"/>
          <w:b w:val="0"/>
          <w:sz w:val="22"/>
          <w:szCs w:val="22"/>
        </w:rPr>
        <w:t xml:space="preserve">                                </w:t>
      </w:r>
    </w:p>
    <w:p w:rsidR="00774C81" w:rsidRPr="0068549F" w:rsidRDefault="00774C81" w:rsidP="00774C81">
      <w:pPr>
        <w:pStyle w:val="ab"/>
        <w:ind w:firstLine="0"/>
        <w:rPr>
          <w:rFonts w:ascii="Arial" w:hAnsi="Arial" w:cs="Arial"/>
          <w:b w:val="0"/>
          <w:sz w:val="22"/>
          <w:szCs w:val="22"/>
        </w:rPr>
      </w:pPr>
      <w:r w:rsidRPr="0068549F">
        <w:rPr>
          <w:rFonts w:ascii="Arial" w:hAnsi="Arial" w:cs="Arial"/>
          <w:b w:val="0"/>
          <w:sz w:val="22"/>
          <w:szCs w:val="22"/>
        </w:rPr>
        <w:t>Показатели поступления доходов в местный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8549F">
        <w:rPr>
          <w:rFonts w:ascii="Arial" w:hAnsi="Arial" w:cs="Arial"/>
          <w:b w:val="0"/>
          <w:sz w:val="22"/>
          <w:szCs w:val="22"/>
        </w:rPr>
        <w:t>бюджет в 201</w:t>
      </w:r>
      <w:r>
        <w:rPr>
          <w:rFonts w:ascii="Arial" w:hAnsi="Arial" w:cs="Arial"/>
          <w:b w:val="0"/>
          <w:sz w:val="22"/>
          <w:szCs w:val="22"/>
        </w:rPr>
        <w:t>8– 2020</w:t>
      </w:r>
      <w:r w:rsidRPr="0068549F">
        <w:rPr>
          <w:rFonts w:ascii="Arial" w:hAnsi="Arial" w:cs="Arial"/>
          <w:b w:val="0"/>
          <w:sz w:val="22"/>
          <w:szCs w:val="22"/>
        </w:rPr>
        <w:t xml:space="preserve"> годах с учетом изменения</w:t>
      </w:r>
    </w:p>
    <w:p w:rsidR="00774C81" w:rsidRPr="0068549F" w:rsidRDefault="00774C81" w:rsidP="00774C81">
      <w:pPr>
        <w:pStyle w:val="ab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68549F">
        <w:rPr>
          <w:rFonts w:ascii="Arial" w:hAnsi="Arial" w:cs="Arial"/>
          <w:b w:val="0"/>
          <w:sz w:val="22"/>
          <w:szCs w:val="22"/>
        </w:rPr>
        <w:t>бюджетного и налогового законодательства</w:t>
      </w:r>
    </w:p>
    <w:p w:rsidR="00774C81" w:rsidRPr="0068549F" w:rsidRDefault="00774C81" w:rsidP="00774C81">
      <w:pPr>
        <w:pStyle w:val="ab"/>
        <w:ind w:firstLine="709"/>
        <w:jc w:val="right"/>
        <w:rPr>
          <w:rFonts w:ascii="Arial" w:hAnsi="Arial" w:cs="Arial"/>
          <w:b w:val="0"/>
          <w:sz w:val="22"/>
          <w:szCs w:val="22"/>
        </w:rPr>
      </w:pPr>
      <w:r w:rsidRPr="0068549F">
        <w:rPr>
          <w:rFonts w:ascii="Arial" w:hAnsi="Arial" w:cs="Arial"/>
          <w:b w:val="0"/>
          <w:sz w:val="22"/>
          <w:szCs w:val="22"/>
        </w:rPr>
        <w:t>тыс. рублей</w:t>
      </w:r>
    </w:p>
    <w:tbl>
      <w:tblPr>
        <w:tblW w:w="513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694"/>
        <w:gridCol w:w="781"/>
        <w:gridCol w:w="914"/>
        <w:gridCol w:w="893"/>
        <w:gridCol w:w="810"/>
        <w:gridCol w:w="1032"/>
        <w:gridCol w:w="908"/>
        <w:gridCol w:w="969"/>
        <w:gridCol w:w="853"/>
        <w:gridCol w:w="977"/>
      </w:tblGrid>
      <w:tr w:rsidR="00774C81" w:rsidRPr="0068549F" w:rsidTr="00375C83">
        <w:trPr>
          <w:cantSplit/>
          <w:trHeight w:val="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12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г., факт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г., оценка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9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г., прогноз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774C81" w:rsidRPr="0068549F" w:rsidTr="00375C83">
        <w:trPr>
          <w:cantSplit/>
          <w:trHeight w:val="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22"/>
              <w:rPr>
                <w:rFonts w:ascii="Arial" w:hAnsi="Arial" w:cs="Arial"/>
                <w:sz w:val="20"/>
                <w:szCs w:val="20"/>
              </w:rPr>
            </w:pPr>
            <w:r w:rsidRPr="00B50000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tabs>
                <w:tab w:val="left" w:pos="1285"/>
              </w:tabs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8708A4" w:rsidRDefault="00774C81" w:rsidP="00375C83">
            <w:pPr>
              <w:ind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8A4">
              <w:rPr>
                <w:rFonts w:ascii="Arial" w:hAnsi="Arial" w:cs="Arial"/>
                <w:sz w:val="20"/>
                <w:szCs w:val="20"/>
              </w:rPr>
              <w:t>357,4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774C81" w:rsidRPr="0068549F" w:rsidTr="00375C83">
        <w:trPr>
          <w:cantSplit/>
          <w:trHeight w:val="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22"/>
              <w:rPr>
                <w:rFonts w:ascii="Arial" w:hAnsi="Arial" w:cs="Arial"/>
                <w:sz w:val="20"/>
                <w:szCs w:val="20"/>
              </w:rPr>
            </w:pPr>
            <w:r w:rsidRPr="00B50000">
              <w:rPr>
                <w:rFonts w:ascii="Arial" w:hAnsi="Arial" w:cs="Arial"/>
                <w:sz w:val="20"/>
                <w:szCs w:val="20"/>
              </w:rPr>
              <w:lastRenderedPageBreak/>
              <w:t xml:space="preserve">Безвозмездные поступления, </w:t>
            </w:r>
          </w:p>
          <w:p w:rsidR="00774C81" w:rsidRPr="00B50000" w:rsidRDefault="00774C81" w:rsidP="00375C83">
            <w:pPr>
              <w:ind w:right="-122"/>
              <w:rPr>
                <w:rFonts w:ascii="Arial" w:hAnsi="Arial" w:cs="Arial"/>
                <w:sz w:val="20"/>
                <w:szCs w:val="20"/>
              </w:rPr>
            </w:pPr>
            <w:r w:rsidRPr="00B50000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tabs>
                <w:tab w:val="left" w:pos="1285"/>
              </w:tabs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5348,2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8708A4" w:rsidRDefault="00774C81" w:rsidP="00375C83">
            <w:pPr>
              <w:ind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8A4">
              <w:rPr>
                <w:rFonts w:ascii="Arial" w:hAnsi="Arial" w:cs="Arial"/>
                <w:sz w:val="20"/>
                <w:szCs w:val="20"/>
              </w:rPr>
              <w:t>5928,6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4098,3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3425,4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774C81" w:rsidRPr="0068549F" w:rsidTr="00375C83">
        <w:trPr>
          <w:cantSplit/>
          <w:trHeight w:val="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22"/>
              <w:rPr>
                <w:rFonts w:ascii="Arial" w:hAnsi="Arial" w:cs="Arial"/>
                <w:sz w:val="20"/>
                <w:szCs w:val="20"/>
              </w:rPr>
            </w:pPr>
            <w:r w:rsidRPr="00B50000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tabs>
                <w:tab w:val="left" w:pos="1285"/>
              </w:tabs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8708A4" w:rsidRDefault="00774C81" w:rsidP="00375C83">
            <w:pPr>
              <w:ind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8A4">
              <w:rPr>
                <w:rFonts w:ascii="Arial" w:hAnsi="Arial" w:cs="Arial"/>
                <w:sz w:val="20"/>
                <w:szCs w:val="20"/>
              </w:rPr>
              <w:t>5753,1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3365,4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774C81" w:rsidRPr="0068549F" w:rsidTr="00375C83">
        <w:trPr>
          <w:cantSplit/>
          <w:trHeight w:val="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2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Итого доходов: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tabs>
                <w:tab w:val="left" w:pos="1285"/>
              </w:tabs>
              <w:ind w:right="-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6021,0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8708A4" w:rsidRDefault="00774C81" w:rsidP="00375C83">
            <w:pPr>
              <w:ind w:right="-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8A4">
              <w:rPr>
                <w:rFonts w:ascii="Arial" w:hAnsi="Arial" w:cs="Arial"/>
                <w:b/>
                <w:sz w:val="20"/>
                <w:szCs w:val="20"/>
              </w:rPr>
              <w:t>6286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9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4464,9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3811,0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3842,3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</w:tr>
      <w:tr w:rsidR="00774C81" w:rsidRPr="0068549F" w:rsidTr="00375C83">
        <w:trPr>
          <w:cantSplit/>
          <w:trHeight w:val="20"/>
        </w:trPr>
        <w:tc>
          <w:tcPr>
            <w:tcW w:w="311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4C81" w:rsidRPr="0068549F" w:rsidRDefault="00774C81" w:rsidP="00375C8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4C81" w:rsidRPr="0068549F" w:rsidRDefault="00774C81" w:rsidP="00375C8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4C81" w:rsidRPr="0068549F" w:rsidRDefault="00774C81" w:rsidP="00375C8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4C81" w:rsidRPr="0068549F" w:rsidRDefault="00774C81" w:rsidP="00375C8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4C81" w:rsidRPr="0068549F" w:rsidRDefault="00774C81" w:rsidP="00375C8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774C81" w:rsidRPr="0068549F" w:rsidRDefault="00774C81" w:rsidP="00774C81">
      <w:pPr>
        <w:pStyle w:val="ab"/>
        <w:ind w:firstLine="709"/>
        <w:jc w:val="right"/>
        <w:rPr>
          <w:rFonts w:ascii="Arial" w:hAnsi="Arial" w:cs="Arial"/>
          <w:b w:val="0"/>
          <w:sz w:val="22"/>
          <w:szCs w:val="22"/>
        </w:rPr>
      </w:pPr>
    </w:p>
    <w:p w:rsidR="00774C81" w:rsidRPr="0068549F" w:rsidRDefault="00774C81" w:rsidP="00774C81">
      <w:pPr>
        <w:pStyle w:val="ab"/>
        <w:ind w:firstLine="709"/>
        <w:rPr>
          <w:rFonts w:ascii="Arial" w:hAnsi="Arial" w:cs="Arial"/>
          <w:b w:val="0"/>
          <w:sz w:val="22"/>
          <w:szCs w:val="22"/>
        </w:rPr>
      </w:pPr>
      <w:r w:rsidRPr="0068549F">
        <w:rPr>
          <w:rFonts w:ascii="Arial" w:hAnsi="Arial" w:cs="Arial"/>
          <w:b w:val="0"/>
          <w:sz w:val="22"/>
          <w:szCs w:val="22"/>
        </w:rPr>
        <w:t>Прогнозируемое снижение безвозмездных поступлений в 201</w:t>
      </w:r>
      <w:r>
        <w:rPr>
          <w:rFonts w:ascii="Arial" w:hAnsi="Arial" w:cs="Arial"/>
          <w:b w:val="0"/>
          <w:sz w:val="22"/>
          <w:szCs w:val="22"/>
        </w:rPr>
        <w:t>8</w:t>
      </w:r>
      <w:r w:rsidRPr="0068549F">
        <w:rPr>
          <w:rFonts w:ascii="Arial" w:hAnsi="Arial" w:cs="Arial"/>
          <w:b w:val="0"/>
          <w:sz w:val="22"/>
          <w:szCs w:val="22"/>
        </w:rPr>
        <w:t xml:space="preserve"> году и плановом периоде 201</w:t>
      </w:r>
      <w:r>
        <w:rPr>
          <w:rFonts w:ascii="Arial" w:hAnsi="Arial" w:cs="Arial"/>
          <w:b w:val="0"/>
          <w:sz w:val="22"/>
          <w:szCs w:val="22"/>
        </w:rPr>
        <w:t>9</w:t>
      </w:r>
      <w:r w:rsidRPr="0068549F">
        <w:rPr>
          <w:rFonts w:ascii="Arial" w:hAnsi="Arial" w:cs="Arial"/>
          <w:b w:val="0"/>
          <w:sz w:val="22"/>
          <w:szCs w:val="22"/>
        </w:rPr>
        <w:t xml:space="preserve"> и 20</w:t>
      </w:r>
      <w:r>
        <w:rPr>
          <w:rFonts w:ascii="Arial" w:hAnsi="Arial" w:cs="Arial"/>
          <w:b w:val="0"/>
          <w:sz w:val="22"/>
          <w:szCs w:val="22"/>
        </w:rPr>
        <w:t xml:space="preserve">20 </w:t>
      </w:r>
      <w:r w:rsidRPr="0068549F">
        <w:rPr>
          <w:rFonts w:ascii="Arial" w:hAnsi="Arial" w:cs="Arial"/>
          <w:b w:val="0"/>
          <w:sz w:val="22"/>
          <w:szCs w:val="22"/>
        </w:rPr>
        <w:t>годов обусловлено тем, что в проекте закона Иркутской области «Об областном бюджете на 201</w:t>
      </w:r>
      <w:r>
        <w:rPr>
          <w:rFonts w:ascii="Arial" w:hAnsi="Arial" w:cs="Arial"/>
          <w:b w:val="0"/>
          <w:sz w:val="22"/>
          <w:szCs w:val="22"/>
        </w:rPr>
        <w:t>8</w:t>
      </w:r>
      <w:r w:rsidRPr="0068549F">
        <w:rPr>
          <w:rFonts w:ascii="Arial" w:hAnsi="Arial" w:cs="Arial"/>
          <w:b w:val="0"/>
          <w:sz w:val="22"/>
          <w:szCs w:val="22"/>
        </w:rPr>
        <w:t> год и на плановый период 201</w:t>
      </w:r>
      <w:r>
        <w:rPr>
          <w:rFonts w:ascii="Arial" w:hAnsi="Arial" w:cs="Arial"/>
          <w:b w:val="0"/>
          <w:sz w:val="22"/>
          <w:szCs w:val="22"/>
        </w:rPr>
        <w:t>9</w:t>
      </w:r>
      <w:r w:rsidRPr="0068549F">
        <w:rPr>
          <w:rFonts w:ascii="Arial" w:hAnsi="Arial" w:cs="Arial"/>
          <w:b w:val="0"/>
          <w:sz w:val="22"/>
          <w:szCs w:val="22"/>
        </w:rPr>
        <w:t xml:space="preserve"> и 20</w:t>
      </w:r>
      <w:r>
        <w:rPr>
          <w:rFonts w:ascii="Arial" w:hAnsi="Arial" w:cs="Arial"/>
          <w:b w:val="0"/>
          <w:sz w:val="22"/>
          <w:szCs w:val="22"/>
        </w:rPr>
        <w:t>20</w:t>
      </w:r>
      <w:r w:rsidRPr="0068549F">
        <w:rPr>
          <w:rFonts w:ascii="Arial" w:hAnsi="Arial" w:cs="Arial"/>
          <w:b w:val="0"/>
          <w:sz w:val="22"/>
          <w:szCs w:val="22"/>
        </w:rPr>
        <w:t> годов» объем межбюджетных трансфертов не полностью распределен между районами Иркутской области.</w:t>
      </w:r>
    </w:p>
    <w:p w:rsidR="00774C81" w:rsidRPr="0068549F" w:rsidRDefault="00774C81" w:rsidP="00774C81">
      <w:pPr>
        <w:pStyle w:val="ab"/>
        <w:ind w:firstLine="709"/>
        <w:rPr>
          <w:rFonts w:ascii="Arial" w:hAnsi="Arial" w:cs="Arial"/>
          <w:b w:val="0"/>
          <w:sz w:val="22"/>
          <w:szCs w:val="22"/>
        </w:rPr>
      </w:pPr>
      <w:r w:rsidRPr="0068549F">
        <w:rPr>
          <w:rFonts w:ascii="Arial" w:hAnsi="Arial" w:cs="Arial"/>
          <w:b w:val="0"/>
          <w:sz w:val="22"/>
          <w:szCs w:val="22"/>
        </w:rPr>
        <w:t xml:space="preserve">В дальнейшем, в процессе исполнения областного бюджета, будет осуществляться распределение межбюджетных трансфертов бюджетам муниципальных районов и муниципальных образований Иркутской области, и соответственно с учетом распределения указанных выше средств, будут уточнены параметры местного бюджета по безвозмездным поступлениям.  </w:t>
      </w:r>
    </w:p>
    <w:p w:rsidR="00774C81" w:rsidRPr="0068549F" w:rsidRDefault="00774C81" w:rsidP="00774C81">
      <w:pPr>
        <w:pStyle w:val="ab"/>
        <w:ind w:firstLine="709"/>
        <w:rPr>
          <w:rFonts w:ascii="Arial" w:hAnsi="Arial" w:cs="Arial"/>
          <w:b w:val="0"/>
          <w:sz w:val="22"/>
          <w:szCs w:val="22"/>
        </w:rPr>
      </w:pPr>
      <w:r w:rsidRPr="0068549F">
        <w:rPr>
          <w:rFonts w:ascii="Arial" w:hAnsi="Arial" w:cs="Arial"/>
          <w:b w:val="0"/>
          <w:sz w:val="22"/>
          <w:szCs w:val="22"/>
        </w:rPr>
        <w:t>В 201</w:t>
      </w:r>
      <w:r>
        <w:rPr>
          <w:rFonts w:ascii="Arial" w:hAnsi="Arial" w:cs="Arial"/>
          <w:b w:val="0"/>
          <w:sz w:val="22"/>
          <w:szCs w:val="22"/>
        </w:rPr>
        <w:t>8</w:t>
      </w:r>
      <w:r w:rsidRPr="0068549F">
        <w:rPr>
          <w:rFonts w:ascii="Arial" w:hAnsi="Arial" w:cs="Arial"/>
          <w:b w:val="0"/>
          <w:sz w:val="22"/>
          <w:szCs w:val="22"/>
        </w:rPr>
        <w:t xml:space="preserve"> году доходы местного бюджета прогнозируются в объеме </w:t>
      </w:r>
      <w:r>
        <w:rPr>
          <w:rFonts w:ascii="Arial" w:hAnsi="Arial" w:cs="Arial"/>
          <w:b w:val="0"/>
          <w:sz w:val="22"/>
          <w:szCs w:val="22"/>
        </w:rPr>
        <w:t>4464,9</w:t>
      </w:r>
      <w:r w:rsidRPr="0068549F">
        <w:rPr>
          <w:rFonts w:ascii="Arial" w:hAnsi="Arial" w:cs="Arial"/>
          <w:b w:val="0"/>
          <w:sz w:val="22"/>
          <w:szCs w:val="22"/>
        </w:rPr>
        <w:t xml:space="preserve"> тыс. рублей, налоговые и неналоговые доходы составят </w:t>
      </w:r>
      <w:r>
        <w:rPr>
          <w:rFonts w:ascii="Arial" w:hAnsi="Arial" w:cs="Arial"/>
          <w:b w:val="0"/>
          <w:sz w:val="22"/>
          <w:szCs w:val="22"/>
        </w:rPr>
        <w:t>366,6</w:t>
      </w:r>
      <w:r w:rsidRPr="0068549F">
        <w:rPr>
          <w:rFonts w:ascii="Arial" w:hAnsi="Arial" w:cs="Arial"/>
          <w:b w:val="0"/>
          <w:sz w:val="22"/>
          <w:szCs w:val="22"/>
        </w:rPr>
        <w:t xml:space="preserve"> тыс. рублей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774C81" w:rsidRPr="0068549F" w:rsidRDefault="00774C81" w:rsidP="00774C81">
      <w:pPr>
        <w:pStyle w:val="ab"/>
        <w:ind w:firstLine="709"/>
        <w:rPr>
          <w:rFonts w:ascii="Arial" w:hAnsi="Arial" w:cs="Arial"/>
          <w:b w:val="0"/>
          <w:sz w:val="22"/>
          <w:szCs w:val="22"/>
        </w:rPr>
      </w:pPr>
      <w:r w:rsidRPr="0068549F">
        <w:rPr>
          <w:rFonts w:ascii="Arial" w:hAnsi="Arial" w:cs="Arial"/>
          <w:b w:val="0"/>
          <w:sz w:val="22"/>
          <w:szCs w:val="22"/>
        </w:rPr>
        <w:t>В 201</w:t>
      </w:r>
      <w:r>
        <w:rPr>
          <w:rFonts w:ascii="Arial" w:hAnsi="Arial" w:cs="Arial"/>
          <w:b w:val="0"/>
          <w:sz w:val="22"/>
          <w:szCs w:val="22"/>
        </w:rPr>
        <w:t>9</w:t>
      </w:r>
      <w:r w:rsidRPr="0068549F">
        <w:rPr>
          <w:rFonts w:ascii="Arial" w:hAnsi="Arial" w:cs="Arial"/>
          <w:b w:val="0"/>
          <w:sz w:val="22"/>
          <w:szCs w:val="22"/>
        </w:rPr>
        <w:t xml:space="preserve"> году доходы местного бюджета прогнозируются в объеме </w:t>
      </w:r>
      <w:r>
        <w:rPr>
          <w:rFonts w:ascii="Arial" w:hAnsi="Arial" w:cs="Arial"/>
          <w:b w:val="0"/>
          <w:sz w:val="22"/>
          <w:szCs w:val="22"/>
        </w:rPr>
        <w:t>3811,0</w:t>
      </w:r>
      <w:r w:rsidRPr="0068549F">
        <w:rPr>
          <w:rFonts w:ascii="Arial" w:hAnsi="Arial" w:cs="Arial"/>
          <w:b w:val="0"/>
          <w:sz w:val="22"/>
          <w:szCs w:val="22"/>
        </w:rPr>
        <w:t xml:space="preserve"> тыс. рублей, налоговые и неналоговые доходы составят </w:t>
      </w:r>
      <w:r>
        <w:rPr>
          <w:rFonts w:ascii="Arial" w:hAnsi="Arial" w:cs="Arial"/>
          <w:b w:val="0"/>
          <w:sz w:val="22"/>
          <w:szCs w:val="22"/>
        </w:rPr>
        <w:t>385,6</w:t>
      </w:r>
      <w:r w:rsidRPr="0068549F">
        <w:rPr>
          <w:rFonts w:ascii="Arial" w:hAnsi="Arial" w:cs="Arial"/>
          <w:b w:val="0"/>
          <w:sz w:val="22"/>
          <w:szCs w:val="22"/>
        </w:rPr>
        <w:t xml:space="preserve"> тыс. рублей, </w:t>
      </w:r>
    </w:p>
    <w:p w:rsidR="00774C81" w:rsidRPr="0068549F" w:rsidRDefault="00774C81" w:rsidP="00774C81">
      <w:pPr>
        <w:pStyle w:val="ab"/>
        <w:ind w:firstLine="709"/>
        <w:rPr>
          <w:rFonts w:ascii="Arial" w:hAnsi="Arial" w:cs="Arial"/>
          <w:b w:val="0"/>
          <w:sz w:val="22"/>
          <w:szCs w:val="22"/>
        </w:rPr>
      </w:pPr>
      <w:r w:rsidRPr="0068549F">
        <w:rPr>
          <w:rFonts w:ascii="Arial" w:hAnsi="Arial" w:cs="Arial"/>
          <w:b w:val="0"/>
          <w:sz w:val="22"/>
          <w:szCs w:val="22"/>
        </w:rPr>
        <w:t>В 20</w:t>
      </w:r>
      <w:r>
        <w:rPr>
          <w:rFonts w:ascii="Arial" w:hAnsi="Arial" w:cs="Arial"/>
          <w:b w:val="0"/>
          <w:sz w:val="22"/>
          <w:szCs w:val="22"/>
        </w:rPr>
        <w:t>20</w:t>
      </w:r>
      <w:r w:rsidRPr="0068549F">
        <w:rPr>
          <w:rFonts w:ascii="Arial" w:hAnsi="Arial" w:cs="Arial"/>
          <w:b w:val="0"/>
          <w:sz w:val="22"/>
          <w:szCs w:val="22"/>
        </w:rPr>
        <w:t xml:space="preserve"> году доходы местного бюджета прогнозируются в объеме </w:t>
      </w:r>
      <w:r>
        <w:rPr>
          <w:rFonts w:ascii="Arial" w:hAnsi="Arial" w:cs="Arial"/>
          <w:b w:val="0"/>
          <w:sz w:val="22"/>
          <w:szCs w:val="22"/>
        </w:rPr>
        <w:t>3842,3</w:t>
      </w:r>
      <w:r w:rsidRPr="0068549F">
        <w:rPr>
          <w:rFonts w:ascii="Arial" w:hAnsi="Arial" w:cs="Arial"/>
          <w:b w:val="0"/>
          <w:sz w:val="22"/>
          <w:szCs w:val="22"/>
        </w:rPr>
        <w:t xml:space="preserve"> тыс. рублей, налоговые и неналоговые доходы составят </w:t>
      </w:r>
      <w:r>
        <w:rPr>
          <w:rFonts w:ascii="Arial" w:hAnsi="Arial" w:cs="Arial"/>
          <w:b w:val="0"/>
          <w:sz w:val="22"/>
          <w:szCs w:val="22"/>
        </w:rPr>
        <w:t>392,2</w:t>
      </w:r>
      <w:r w:rsidRPr="0068549F">
        <w:rPr>
          <w:rFonts w:ascii="Arial" w:hAnsi="Arial" w:cs="Arial"/>
          <w:b w:val="0"/>
          <w:sz w:val="22"/>
          <w:szCs w:val="22"/>
        </w:rPr>
        <w:t xml:space="preserve"> тыс. рублей, </w:t>
      </w:r>
    </w:p>
    <w:p w:rsidR="00774C81" w:rsidRPr="0068549F" w:rsidRDefault="00774C81" w:rsidP="00774C81">
      <w:pPr>
        <w:pStyle w:val="ab"/>
        <w:ind w:firstLine="709"/>
        <w:rPr>
          <w:rFonts w:ascii="Arial" w:hAnsi="Arial" w:cs="Arial"/>
          <w:b w:val="0"/>
          <w:sz w:val="22"/>
          <w:szCs w:val="22"/>
        </w:rPr>
      </w:pPr>
    </w:p>
    <w:p w:rsidR="00774C81" w:rsidRPr="0068549F" w:rsidRDefault="00774C81" w:rsidP="00774C81">
      <w:pPr>
        <w:pStyle w:val="ab"/>
        <w:ind w:firstLine="709"/>
        <w:jc w:val="center"/>
        <w:rPr>
          <w:rFonts w:ascii="Arial" w:hAnsi="Arial" w:cs="Arial"/>
          <w:smallCaps/>
          <w:sz w:val="22"/>
          <w:szCs w:val="22"/>
        </w:rPr>
      </w:pPr>
      <w:r w:rsidRPr="0068549F">
        <w:rPr>
          <w:rFonts w:ascii="Arial" w:hAnsi="Arial" w:cs="Arial"/>
          <w:smallCaps/>
          <w:sz w:val="22"/>
          <w:szCs w:val="22"/>
        </w:rPr>
        <w:t>ОСОБЕННОСТИ  ПЛАНИРОВАНИЯ ПОСТУПЛЕНИЙ В МЕСТНЫЙ БЮДЖЕТ ПО ОТДЕЛЬНЫМ ВИДАМ ДОХОДОВ</w:t>
      </w:r>
    </w:p>
    <w:p w:rsidR="00774C81" w:rsidRPr="0068549F" w:rsidRDefault="00774C81" w:rsidP="00774C81">
      <w:pPr>
        <w:pStyle w:val="ab"/>
        <w:ind w:firstLine="709"/>
        <w:jc w:val="center"/>
        <w:rPr>
          <w:rFonts w:ascii="Arial" w:hAnsi="Arial" w:cs="Arial"/>
          <w:b w:val="0"/>
          <w:smallCaps/>
          <w:sz w:val="22"/>
          <w:szCs w:val="22"/>
        </w:rPr>
      </w:pPr>
    </w:p>
    <w:p w:rsidR="00774C81" w:rsidRPr="0068549F" w:rsidRDefault="00774C81" w:rsidP="00774C81">
      <w:pPr>
        <w:pStyle w:val="ab"/>
        <w:ind w:firstLine="709"/>
        <w:jc w:val="center"/>
        <w:rPr>
          <w:rFonts w:ascii="Arial" w:hAnsi="Arial" w:cs="Arial"/>
          <w:i/>
          <w:smallCaps/>
          <w:sz w:val="22"/>
          <w:szCs w:val="22"/>
          <w:u w:val="single"/>
        </w:rPr>
      </w:pPr>
      <w:r w:rsidRPr="0068549F">
        <w:rPr>
          <w:rFonts w:ascii="Arial" w:hAnsi="Arial" w:cs="Arial"/>
          <w:i/>
          <w:smallCaps/>
          <w:sz w:val="22"/>
          <w:szCs w:val="22"/>
          <w:u w:val="single"/>
        </w:rPr>
        <w:t>Налоги на прибыль, доходы</w:t>
      </w:r>
    </w:p>
    <w:p w:rsidR="00774C81" w:rsidRPr="0068549F" w:rsidRDefault="00774C81" w:rsidP="00774C81">
      <w:pPr>
        <w:pStyle w:val="ab"/>
        <w:ind w:firstLine="709"/>
        <w:rPr>
          <w:rFonts w:ascii="Arial" w:hAnsi="Arial" w:cs="Arial"/>
          <w:i/>
          <w:sz w:val="22"/>
          <w:szCs w:val="22"/>
        </w:rPr>
      </w:pPr>
    </w:p>
    <w:p w:rsidR="00774C81" w:rsidRPr="0068549F" w:rsidRDefault="00774C81" w:rsidP="00774C81">
      <w:pPr>
        <w:pStyle w:val="ab"/>
        <w:ind w:firstLine="709"/>
        <w:rPr>
          <w:rFonts w:ascii="Arial" w:hAnsi="Arial" w:cs="Arial"/>
          <w:i/>
          <w:sz w:val="22"/>
          <w:szCs w:val="22"/>
        </w:rPr>
      </w:pPr>
      <w:r w:rsidRPr="0068549F">
        <w:rPr>
          <w:rFonts w:ascii="Arial" w:hAnsi="Arial" w:cs="Arial"/>
          <w:i/>
          <w:sz w:val="22"/>
          <w:szCs w:val="22"/>
        </w:rPr>
        <w:t>Налог на доходы физических лиц</w:t>
      </w:r>
    </w:p>
    <w:p w:rsidR="00774C81" w:rsidRPr="0068549F" w:rsidRDefault="00774C81" w:rsidP="00774C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Поступления налога на доходы физических лиц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и на плановый период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и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годов запланированы на основе прогнозируемых поступлений 201</w:t>
      </w:r>
      <w:r>
        <w:rPr>
          <w:rFonts w:ascii="Arial" w:hAnsi="Arial" w:cs="Arial"/>
          <w:sz w:val="22"/>
          <w:szCs w:val="22"/>
        </w:rPr>
        <w:t>7</w:t>
      </w:r>
      <w:r w:rsidRPr="0068549F">
        <w:rPr>
          <w:rFonts w:ascii="Arial" w:hAnsi="Arial" w:cs="Arial"/>
          <w:sz w:val="22"/>
          <w:szCs w:val="22"/>
        </w:rPr>
        <w:t xml:space="preserve"> года с учетом темпа роста фонда заработной платы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и на период до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> года в соответствии с прогнозом социально-экономического развития Балаганкинского муниципального образования.</w:t>
      </w:r>
    </w:p>
    <w:p w:rsidR="00774C81" w:rsidRPr="0068549F" w:rsidRDefault="00774C81" w:rsidP="00774C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74C81" w:rsidRPr="0068549F" w:rsidRDefault="00774C81" w:rsidP="00774C8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8549F">
        <w:rPr>
          <w:rFonts w:ascii="Arial" w:hAnsi="Arial" w:cs="Arial"/>
          <w:b/>
          <w:i/>
          <w:sz w:val="22"/>
          <w:szCs w:val="22"/>
          <w:u w:val="single"/>
        </w:rPr>
        <w:t>НАЛОГИ НА ТОВАРЫ (РАБОТЫ, УСЛУГИ), РЕАЛИЗУЕМЫЕ НА ТЕРРИТОРИИ РОССИЙСКОЙ ФЕДЕРАЦИИ</w:t>
      </w:r>
    </w:p>
    <w:p w:rsidR="00774C81" w:rsidRPr="0068549F" w:rsidRDefault="00774C81" w:rsidP="00774C81">
      <w:pPr>
        <w:ind w:firstLineChars="100" w:firstLine="220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ind w:firstLineChars="100" w:firstLine="220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Прогноз поступлений по акцизам по подакцизным товарам (продукции), производимым на территории Российской Федерации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запланирован в размере </w:t>
      </w:r>
      <w:r>
        <w:rPr>
          <w:rFonts w:ascii="Arial" w:hAnsi="Arial" w:cs="Arial"/>
          <w:sz w:val="22"/>
          <w:szCs w:val="22"/>
        </w:rPr>
        <w:t>117,6</w:t>
      </w:r>
      <w:r w:rsidRPr="0068549F">
        <w:rPr>
          <w:rFonts w:ascii="Arial" w:hAnsi="Arial" w:cs="Arial"/>
          <w:sz w:val="22"/>
          <w:szCs w:val="22"/>
        </w:rPr>
        <w:t> тыс. рублей. На 20</w:t>
      </w:r>
      <w:r>
        <w:rPr>
          <w:rFonts w:ascii="Arial" w:hAnsi="Arial" w:cs="Arial"/>
          <w:sz w:val="22"/>
          <w:szCs w:val="22"/>
        </w:rPr>
        <w:t>19</w:t>
      </w:r>
      <w:r w:rsidRPr="0068549F">
        <w:rPr>
          <w:rFonts w:ascii="Arial" w:hAnsi="Arial" w:cs="Arial"/>
          <w:sz w:val="22"/>
          <w:szCs w:val="22"/>
        </w:rPr>
        <w:t xml:space="preserve"> год  планируется в сумме </w:t>
      </w:r>
      <w:r>
        <w:rPr>
          <w:rFonts w:ascii="Arial" w:hAnsi="Arial" w:cs="Arial"/>
          <w:sz w:val="22"/>
          <w:szCs w:val="22"/>
        </w:rPr>
        <w:t>132,6</w:t>
      </w:r>
      <w:r w:rsidRPr="0068549F">
        <w:rPr>
          <w:rFonts w:ascii="Arial" w:hAnsi="Arial" w:cs="Arial"/>
          <w:sz w:val="22"/>
          <w:szCs w:val="22"/>
        </w:rPr>
        <w:t xml:space="preserve"> тыс. рублей, на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  в сумме </w:t>
      </w:r>
      <w:r>
        <w:rPr>
          <w:rFonts w:ascii="Arial" w:hAnsi="Arial" w:cs="Arial"/>
          <w:sz w:val="22"/>
          <w:szCs w:val="22"/>
        </w:rPr>
        <w:t>134,2</w:t>
      </w:r>
      <w:r w:rsidRPr="0068549F">
        <w:rPr>
          <w:rFonts w:ascii="Arial" w:hAnsi="Arial" w:cs="Arial"/>
          <w:sz w:val="22"/>
          <w:szCs w:val="22"/>
        </w:rPr>
        <w:t xml:space="preserve"> тыс. рублей. Поступления запланированы </w:t>
      </w:r>
      <w:proofErr w:type="gramStart"/>
      <w:r w:rsidRPr="0068549F">
        <w:rPr>
          <w:rFonts w:ascii="Arial" w:hAnsi="Arial" w:cs="Arial"/>
          <w:sz w:val="22"/>
          <w:szCs w:val="22"/>
        </w:rPr>
        <w:t>согласно</w:t>
      </w:r>
      <w:proofErr w:type="gramEnd"/>
      <w:r w:rsidRPr="0068549F">
        <w:rPr>
          <w:rFonts w:ascii="Arial" w:hAnsi="Arial" w:cs="Arial"/>
          <w:sz w:val="22"/>
          <w:szCs w:val="22"/>
        </w:rPr>
        <w:t xml:space="preserve"> дифференцированных нормативов отчислений.</w:t>
      </w:r>
    </w:p>
    <w:p w:rsidR="00774C81" w:rsidRPr="0068549F" w:rsidRDefault="00774C81" w:rsidP="00774C81">
      <w:pPr>
        <w:pStyle w:val="ab"/>
        <w:ind w:firstLine="709"/>
        <w:jc w:val="left"/>
        <w:rPr>
          <w:rFonts w:ascii="Arial" w:hAnsi="Arial" w:cs="Arial"/>
          <w:b w:val="0"/>
          <w:sz w:val="22"/>
          <w:szCs w:val="22"/>
        </w:rPr>
      </w:pPr>
    </w:p>
    <w:p w:rsidR="00774C81" w:rsidRPr="0068549F" w:rsidRDefault="00774C81" w:rsidP="00774C81">
      <w:pPr>
        <w:pStyle w:val="ab"/>
        <w:ind w:firstLine="709"/>
        <w:jc w:val="center"/>
        <w:rPr>
          <w:rFonts w:ascii="Arial" w:hAnsi="Arial" w:cs="Arial"/>
          <w:i/>
          <w:smallCaps/>
          <w:sz w:val="22"/>
          <w:szCs w:val="22"/>
          <w:u w:val="single"/>
        </w:rPr>
      </w:pPr>
      <w:r w:rsidRPr="0068549F">
        <w:rPr>
          <w:rFonts w:ascii="Arial" w:hAnsi="Arial" w:cs="Arial"/>
          <w:i/>
          <w:smallCaps/>
          <w:sz w:val="22"/>
          <w:szCs w:val="22"/>
          <w:u w:val="single"/>
        </w:rPr>
        <w:t>Налоги на имущество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pStyle w:val="ab"/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68549F">
        <w:rPr>
          <w:rFonts w:ascii="Arial" w:hAnsi="Arial" w:cs="Arial"/>
          <w:i/>
          <w:sz w:val="22"/>
          <w:szCs w:val="22"/>
        </w:rPr>
        <w:t>Налог на имущество физических лиц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Прогноз поступлений по налогу на имущество физических лиц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и на плановый период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и 20</w:t>
      </w:r>
      <w:r>
        <w:rPr>
          <w:rFonts w:ascii="Arial" w:hAnsi="Arial" w:cs="Arial"/>
          <w:sz w:val="22"/>
          <w:szCs w:val="22"/>
        </w:rPr>
        <w:t xml:space="preserve">20 </w:t>
      </w:r>
      <w:r w:rsidRPr="0068549F">
        <w:rPr>
          <w:rFonts w:ascii="Arial" w:hAnsi="Arial" w:cs="Arial"/>
          <w:sz w:val="22"/>
          <w:szCs w:val="22"/>
        </w:rPr>
        <w:t>годов осуществлен с учетом ожидаемых поступлений 201</w:t>
      </w:r>
      <w:r>
        <w:rPr>
          <w:rFonts w:ascii="Arial" w:hAnsi="Arial" w:cs="Arial"/>
          <w:sz w:val="22"/>
          <w:szCs w:val="22"/>
        </w:rPr>
        <w:t xml:space="preserve">7 </w:t>
      </w:r>
      <w:r w:rsidRPr="0068549F">
        <w:rPr>
          <w:rFonts w:ascii="Arial" w:hAnsi="Arial" w:cs="Arial"/>
          <w:sz w:val="22"/>
          <w:szCs w:val="22"/>
        </w:rPr>
        <w:t>года.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Поступления по налогу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запланированы в размере 3,0 тыс. рублей (на уровне ожидаемого поступления 201</w:t>
      </w:r>
      <w:r>
        <w:rPr>
          <w:rFonts w:ascii="Arial" w:hAnsi="Arial" w:cs="Arial"/>
          <w:sz w:val="22"/>
          <w:szCs w:val="22"/>
        </w:rPr>
        <w:t>7</w:t>
      </w:r>
      <w:r w:rsidRPr="0068549F">
        <w:rPr>
          <w:rFonts w:ascii="Arial" w:hAnsi="Arial" w:cs="Arial"/>
          <w:sz w:val="22"/>
          <w:szCs w:val="22"/>
        </w:rPr>
        <w:t> года).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lastRenderedPageBreak/>
        <w:t xml:space="preserve"> В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году налог на имущество организаций планируется в сумме </w:t>
      </w:r>
      <w:r>
        <w:rPr>
          <w:rFonts w:ascii="Arial" w:hAnsi="Arial" w:cs="Arial"/>
          <w:sz w:val="22"/>
          <w:szCs w:val="22"/>
        </w:rPr>
        <w:t>3</w:t>
      </w:r>
      <w:r w:rsidRPr="0068549F">
        <w:rPr>
          <w:rFonts w:ascii="Arial" w:hAnsi="Arial" w:cs="Arial"/>
          <w:sz w:val="22"/>
          <w:szCs w:val="22"/>
        </w:rPr>
        <w:t>0 тыс. рублей (на уровне прогнозируемых поступлений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> года).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В 20</w:t>
      </w:r>
      <w:r>
        <w:rPr>
          <w:rFonts w:ascii="Arial" w:hAnsi="Arial" w:cs="Arial"/>
          <w:sz w:val="22"/>
          <w:szCs w:val="22"/>
        </w:rPr>
        <w:t xml:space="preserve">20 </w:t>
      </w:r>
      <w:r w:rsidRPr="0068549F">
        <w:rPr>
          <w:rFonts w:ascii="Arial" w:hAnsi="Arial" w:cs="Arial"/>
          <w:sz w:val="22"/>
          <w:szCs w:val="22"/>
        </w:rPr>
        <w:t xml:space="preserve">году налог на имущество организаций планируется в сумме </w:t>
      </w:r>
      <w:r>
        <w:rPr>
          <w:rFonts w:ascii="Arial" w:hAnsi="Arial" w:cs="Arial"/>
          <w:sz w:val="22"/>
          <w:szCs w:val="22"/>
        </w:rPr>
        <w:t>4</w:t>
      </w:r>
      <w:r w:rsidRPr="0068549F">
        <w:rPr>
          <w:rFonts w:ascii="Arial" w:hAnsi="Arial" w:cs="Arial"/>
          <w:sz w:val="22"/>
          <w:szCs w:val="22"/>
        </w:rPr>
        <w:t>,0 тыс. рублей (на уровне прогнозируемых поступлений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года).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ind w:firstLine="709"/>
        <w:jc w:val="center"/>
        <w:rPr>
          <w:rFonts w:ascii="Arial" w:hAnsi="Arial" w:cs="Arial"/>
          <w:b/>
          <w:i/>
          <w:sz w:val="22"/>
          <w:szCs w:val="22"/>
        </w:rPr>
      </w:pPr>
      <w:r w:rsidRPr="0068549F">
        <w:rPr>
          <w:rFonts w:ascii="Arial" w:hAnsi="Arial" w:cs="Arial"/>
          <w:b/>
          <w:i/>
          <w:sz w:val="22"/>
          <w:szCs w:val="22"/>
        </w:rPr>
        <w:t>Земельный налог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68549F">
        <w:rPr>
          <w:rFonts w:ascii="Arial" w:hAnsi="Arial" w:cs="Arial"/>
          <w:sz w:val="22"/>
          <w:szCs w:val="22"/>
        </w:rPr>
        <w:t>Прогноз поступлений по земельному налогу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и на плановый период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и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годов запланирован на основе прогнозируемых поступления 201</w:t>
      </w:r>
      <w:r>
        <w:rPr>
          <w:rFonts w:ascii="Arial" w:hAnsi="Arial" w:cs="Arial"/>
          <w:sz w:val="22"/>
          <w:szCs w:val="22"/>
        </w:rPr>
        <w:t>7</w:t>
      </w:r>
      <w:r w:rsidRPr="0068549F">
        <w:rPr>
          <w:rFonts w:ascii="Arial" w:hAnsi="Arial" w:cs="Arial"/>
          <w:sz w:val="22"/>
          <w:szCs w:val="22"/>
        </w:rPr>
        <w:t xml:space="preserve"> года Поступления по налогу запланированы в размере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 xml:space="preserve">145 </w:t>
      </w:r>
      <w:r w:rsidRPr="0068549F">
        <w:rPr>
          <w:rFonts w:ascii="Arial" w:hAnsi="Arial" w:cs="Arial"/>
          <w:sz w:val="22"/>
          <w:szCs w:val="22"/>
        </w:rPr>
        <w:t>тыс. рублей, на 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год в сумме 1</w:t>
      </w:r>
      <w:r>
        <w:rPr>
          <w:rFonts w:ascii="Arial" w:hAnsi="Arial" w:cs="Arial"/>
          <w:sz w:val="22"/>
          <w:szCs w:val="22"/>
        </w:rPr>
        <w:t>45</w:t>
      </w:r>
      <w:r w:rsidRPr="0068549F">
        <w:rPr>
          <w:rFonts w:ascii="Arial" w:hAnsi="Arial" w:cs="Arial"/>
          <w:sz w:val="22"/>
          <w:szCs w:val="22"/>
        </w:rPr>
        <w:t xml:space="preserve"> тыс. рублей, на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 в сумме 1</w:t>
      </w:r>
      <w:r>
        <w:rPr>
          <w:rFonts w:ascii="Arial" w:hAnsi="Arial" w:cs="Arial"/>
          <w:sz w:val="22"/>
          <w:szCs w:val="22"/>
        </w:rPr>
        <w:t>45</w:t>
      </w:r>
      <w:r w:rsidRPr="0068549F">
        <w:rPr>
          <w:rFonts w:ascii="Arial" w:hAnsi="Arial" w:cs="Arial"/>
          <w:sz w:val="22"/>
          <w:szCs w:val="22"/>
        </w:rPr>
        <w:t>,0 тыс. рублей.</w:t>
      </w:r>
      <w:proofErr w:type="gramEnd"/>
    </w:p>
    <w:p w:rsidR="00774C81" w:rsidRPr="0068549F" w:rsidRDefault="00774C81" w:rsidP="00774C81">
      <w:pPr>
        <w:pStyle w:val="ab"/>
        <w:ind w:firstLine="709"/>
        <w:jc w:val="center"/>
        <w:rPr>
          <w:rFonts w:ascii="Arial" w:hAnsi="Arial" w:cs="Arial"/>
          <w:i/>
          <w:smallCaps/>
          <w:sz w:val="22"/>
          <w:szCs w:val="22"/>
          <w:u w:val="single"/>
        </w:rPr>
      </w:pP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pStyle w:val="ab"/>
        <w:ind w:firstLine="709"/>
        <w:jc w:val="center"/>
        <w:rPr>
          <w:rFonts w:ascii="Arial" w:hAnsi="Arial" w:cs="Arial"/>
          <w:i/>
          <w:smallCaps/>
          <w:sz w:val="22"/>
          <w:szCs w:val="22"/>
          <w:u w:val="single"/>
        </w:rPr>
      </w:pPr>
      <w:r w:rsidRPr="0068549F">
        <w:rPr>
          <w:rFonts w:ascii="Arial" w:hAnsi="Arial" w:cs="Arial"/>
          <w:i/>
          <w:smallCaps/>
          <w:sz w:val="22"/>
          <w:szCs w:val="22"/>
          <w:u w:val="single"/>
        </w:rPr>
        <w:t>Доходы от уплаты штрафов</w:t>
      </w:r>
      <w:proofErr w:type="gramStart"/>
      <w:r w:rsidRPr="0068549F">
        <w:rPr>
          <w:rFonts w:ascii="Arial" w:hAnsi="Arial" w:cs="Arial"/>
          <w:i/>
          <w:smallCaps/>
          <w:sz w:val="22"/>
          <w:szCs w:val="22"/>
          <w:u w:val="single"/>
        </w:rPr>
        <w:t>.</w:t>
      </w:r>
      <w:proofErr w:type="gramEnd"/>
      <w:r w:rsidRPr="0068549F">
        <w:rPr>
          <w:rFonts w:ascii="Arial" w:hAnsi="Arial" w:cs="Arial"/>
          <w:i/>
          <w:smallCaps/>
          <w:sz w:val="22"/>
          <w:szCs w:val="22"/>
          <w:u w:val="single"/>
        </w:rPr>
        <w:t xml:space="preserve"> </w:t>
      </w:r>
      <w:proofErr w:type="gramStart"/>
      <w:r w:rsidRPr="0068549F">
        <w:rPr>
          <w:rFonts w:ascii="Arial" w:hAnsi="Arial" w:cs="Arial"/>
          <w:i/>
          <w:smallCaps/>
          <w:sz w:val="22"/>
          <w:szCs w:val="22"/>
          <w:u w:val="single"/>
        </w:rPr>
        <w:t>с</w:t>
      </w:r>
      <w:proofErr w:type="gramEnd"/>
      <w:r w:rsidRPr="0068549F">
        <w:rPr>
          <w:rFonts w:ascii="Arial" w:hAnsi="Arial" w:cs="Arial"/>
          <w:i/>
          <w:smallCaps/>
          <w:sz w:val="22"/>
          <w:szCs w:val="22"/>
          <w:u w:val="single"/>
        </w:rPr>
        <w:t>анкций,  возмещения ущерба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68549F">
        <w:rPr>
          <w:rFonts w:ascii="Arial" w:hAnsi="Arial" w:cs="Arial"/>
          <w:sz w:val="22"/>
          <w:szCs w:val="22"/>
        </w:rPr>
        <w:t>Доходы</w:t>
      </w:r>
      <w:proofErr w:type="gramEnd"/>
      <w:r w:rsidRPr="0068549F">
        <w:rPr>
          <w:rFonts w:ascii="Arial" w:hAnsi="Arial" w:cs="Arial"/>
          <w:sz w:val="22"/>
          <w:szCs w:val="22"/>
        </w:rPr>
        <w:t xml:space="preserve"> получаемые в виде прочих поступлений от денежных взысканий запланированы на 2017-2019 годы в сумме 1,0 тыс. рублей ежегодно.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74C81" w:rsidRDefault="00774C81" w:rsidP="00774C81">
      <w:pPr>
        <w:pStyle w:val="ab"/>
        <w:ind w:firstLine="709"/>
        <w:jc w:val="center"/>
        <w:rPr>
          <w:rFonts w:ascii="Arial" w:hAnsi="Arial" w:cs="Arial"/>
          <w:smallCaps/>
          <w:sz w:val="22"/>
          <w:szCs w:val="22"/>
        </w:rPr>
      </w:pPr>
    </w:p>
    <w:p w:rsidR="00774C81" w:rsidRDefault="00774C81" w:rsidP="00774C81">
      <w:pPr>
        <w:pStyle w:val="ab"/>
        <w:ind w:firstLine="709"/>
        <w:jc w:val="center"/>
        <w:rPr>
          <w:rFonts w:ascii="Arial" w:hAnsi="Arial" w:cs="Arial"/>
          <w:smallCaps/>
          <w:sz w:val="22"/>
          <w:szCs w:val="22"/>
        </w:rPr>
      </w:pPr>
    </w:p>
    <w:p w:rsidR="00774C81" w:rsidRPr="0068549F" w:rsidRDefault="00774C81" w:rsidP="00774C81">
      <w:pPr>
        <w:pStyle w:val="ab"/>
        <w:ind w:firstLine="709"/>
        <w:jc w:val="center"/>
        <w:rPr>
          <w:rFonts w:ascii="Arial" w:hAnsi="Arial" w:cs="Arial"/>
          <w:smallCaps/>
          <w:sz w:val="22"/>
          <w:szCs w:val="22"/>
        </w:rPr>
      </w:pPr>
      <w:r w:rsidRPr="0068549F">
        <w:rPr>
          <w:rFonts w:ascii="Arial" w:hAnsi="Arial" w:cs="Arial"/>
          <w:smallCaps/>
          <w:sz w:val="22"/>
          <w:szCs w:val="22"/>
        </w:rPr>
        <w:t>БЕЗВОЗМЕЗДНЫЕ ПЕРЕЧИСЛЕНИЯ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 xml:space="preserve"> </w:t>
      </w:r>
    </w:p>
    <w:p w:rsidR="00774C81" w:rsidRPr="0068549F" w:rsidRDefault="00774C81" w:rsidP="00774C81">
      <w:pPr>
        <w:pStyle w:val="ab"/>
        <w:ind w:firstLine="709"/>
        <w:jc w:val="center"/>
        <w:rPr>
          <w:rFonts w:ascii="Arial" w:hAnsi="Arial" w:cs="Arial"/>
          <w:snapToGrid w:val="0"/>
          <w:sz w:val="22"/>
          <w:szCs w:val="22"/>
        </w:rPr>
      </w:pPr>
      <w:r w:rsidRPr="0068549F">
        <w:rPr>
          <w:rFonts w:ascii="Arial" w:hAnsi="Arial" w:cs="Arial"/>
          <w:snapToGrid w:val="0"/>
          <w:sz w:val="22"/>
          <w:szCs w:val="22"/>
        </w:rPr>
        <w:t xml:space="preserve"> Объем безвозмездных поступлений </w:t>
      </w:r>
    </w:p>
    <w:p w:rsidR="00774C81" w:rsidRPr="0068549F" w:rsidRDefault="00774C81" w:rsidP="00774C81">
      <w:pPr>
        <w:pStyle w:val="ab"/>
        <w:ind w:firstLine="709"/>
        <w:jc w:val="center"/>
        <w:rPr>
          <w:rFonts w:ascii="Arial" w:hAnsi="Arial" w:cs="Arial"/>
          <w:snapToGrid w:val="0"/>
          <w:sz w:val="22"/>
          <w:szCs w:val="22"/>
        </w:rPr>
      </w:pPr>
      <w:r w:rsidRPr="0068549F">
        <w:rPr>
          <w:rFonts w:ascii="Arial" w:hAnsi="Arial" w:cs="Arial"/>
          <w:snapToGrid w:val="0"/>
          <w:sz w:val="22"/>
          <w:szCs w:val="22"/>
        </w:rPr>
        <w:t>в местный бюджет в 201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 – 20</w:t>
      </w:r>
      <w:r>
        <w:rPr>
          <w:rFonts w:ascii="Arial" w:hAnsi="Arial" w:cs="Arial"/>
          <w:snapToGrid w:val="0"/>
          <w:sz w:val="22"/>
          <w:szCs w:val="22"/>
        </w:rPr>
        <w:t>20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 годах</w:t>
      </w:r>
    </w:p>
    <w:p w:rsidR="00774C81" w:rsidRPr="0068549F" w:rsidRDefault="00774C81" w:rsidP="00774C81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тыс. рублей</w:t>
      </w:r>
    </w:p>
    <w:tbl>
      <w:tblPr>
        <w:tblW w:w="519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690"/>
        <w:gridCol w:w="849"/>
        <w:gridCol w:w="994"/>
        <w:gridCol w:w="825"/>
        <w:gridCol w:w="992"/>
        <w:gridCol w:w="829"/>
        <w:gridCol w:w="992"/>
        <w:gridCol w:w="940"/>
        <w:gridCol w:w="872"/>
        <w:gridCol w:w="954"/>
      </w:tblGrid>
      <w:tr w:rsidR="00774C81" w:rsidRPr="0068549F" w:rsidTr="00375C83">
        <w:trPr>
          <w:cantSplit/>
          <w:trHeight w:val="2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122"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г., факт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г., оценка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92"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11"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1"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17"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7"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84"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774C81" w:rsidRPr="0068549F" w:rsidTr="00375C83">
        <w:trPr>
          <w:cantSplit/>
          <w:trHeight w:val="2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22" w:firstLine="34"/>
              <w:rPr>
                <w:rFonts w:ascii="Arial" w:hAnsi="Arial" w:cs="Arial"/>
                <w:sz w:val="20"/>
                <w:szCs w:val="20"/>
              </w:rPr>
            </w:pPr>
            <w:r w:rsidRPr="00B50000">
              <w:rPr>
                <w:rFonts w:ascii="Arial" w:hAnsi="Arial" w:cs="Arial"/>
                <w:sz w:val="20"/>
                <w:szCs w:val="20"/>
              </w:rPr>
              <w:t>Дотации, в том числе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tabs>
                <w:tab w:val="left" w:pos="1285"/>
              </w:tabs>
              <w:ind w:right="-43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82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5753,1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92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49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4038,9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59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3365,4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56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774C81" w:rsidRPr="0068549F" w:rsidTr="00375C83">
        <w:trPr>
          <w:cantSplit/>
          <w:trHeight w:val="2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22" w:firstLine="34"/>
              <w:rPr>
                <w:rFonts w:ascii="Arial" w:hAnsi="Arial" w:cs="Arial"/>
                <w:sz w:val="20"/>
                <w:szCs w:val="20"/>
              </w:rPr>
            </w:pPr>
            <w:r w:rsidRPr="00B50000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tabs>
                <w:tab w:val="left" w:pos="1285"/>
              </w:tabs>
              <w:ind w:right="-43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82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5753,1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92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49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4038,9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59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3365,4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56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774C81" w:rsidRPr="0068549F" w:rsidTr="00375C83">
        <w:trPr>
          <w:cantSplit/>
          <w:trHeight w:val="2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22" w:firstLine="34"/>
              <w:rPr>
                <w:rFonts w:ascii="Arial" w:hAnsi="Arial" w:cs="Arial"/>
                <w:sz w:val="20"/>
                <w:szCs w:val="20"/>
              </w:rPr>
            </w:pPr>
            <w:r w:rsidRPr="00B50000">
              <w:rPr>
                <w:rFonts w:ascii="Arial" w:hAnsi="Arial" w:cs="Arial"/>
                <w:sz w:val="20"/>
                <w:szCs w:val="20"/>
              </w:rPr>
              <w:t>иные дотации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tabs>
                <w:tab w:val="left" w:pos="1285"/>
              </w:tabs>
              <w:ind w:right="-43" w:hanging="3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82" w:hanging="3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92" w:hanging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49" w:hanging="3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59" w:hanging="3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56" w:hanging="3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C81" w:rsidRPr="0068549F" w:rsidTr="00375C83">
        <w:trPr>
          <w:cantSplit/>
          <w:trHeight w:val="2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22" w:firstLine="34"/>
              <w:rPr>
                <w:rFonts w:ascii="Arial" w:hAnsi="Arial" w:cs="Arial"/>
                <w:sz w:val="20"/>
                <w:szCs w:val="20"/>
              </w:rPr>
            </w:pPr>
            <w:r w:rsidRPr="00B50000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43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82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92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49" w:hanging="3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59" w:hanging="3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56" w:hanging="3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C81" w:rsidRPr="0068549F" w:rsidTr="00375C83">
        <w:trPr>
          <w:cantSplit/>
          <w:trHeight w:val="2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22" w:firstLine="34"/>
              <w:rPr>
                <w:rFonts w:ascii="Arial" w:hAnsi="Arial" w:cs="Arial"/>
                <w:sz w:val="20"/>
                <w:szCs w:val="20"/>
              </w:rPr>
            </w:pPr>
            <w:r w:rsidRPr="00B50000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43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82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92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49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59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56" w:hanging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774C81" w:rsidRPr="0068549F" w:rsidTr="00375C83">
        <w:trPr>
          <w:cantSplit/>
          <w:trHeight w:val="2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22" w:firstLine="34"/>
              <w:rPr>
                <w:rFonts w:ascii="Arial" w:hAnsi="Arial" w:cs="Arial"/>
                <w:sz w:val="20"/>
                <w:szCs w:val="20"/>
              </w:rPr>
            </w:pPr>
            <w:r w:rsidRPr="00B50000">
              <w:rPr>
                <w:rFonts w:ascii="Arial" w:hAnsi="Arial" w:cs="Arial"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43" w:hanging="3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82" w:hanging="3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92" w:hanging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49" w:hanging="3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59" w:hanging="3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56" w:hanging="3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C81" w:rsidRPr="0068549F" w:rsidTr="00375C83">
        <w:trPr>
          <w:cantSplit/>
          <w:trHeight w:val="2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22" w:firstLine="3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tabs>
                <w:tab w:val="left" w:pos="1285"/>
              </w:tabs>
              <w:ind w:right="-43" w:hanging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6021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82" w:hanging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6286,0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92" w:hanging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00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81" w:rsidRPr="00B50000" w:rsidRDefault="00774C81" w:rsidP="00375C83">
            <w:pPr>
              <w:ind w:right="-49" w:hanging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4464,9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59" w:hanging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56" w:hanging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3842,3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1" w:rsidRPr="00B50000" w:rsidRDefault="00774C81" w:rsidP="00375C83">
            <w:pPr>
              <w:ind w:right="-106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</w:tr>
    </w:tbl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68549F">
        <w:rPr>
          <w:rFonts w:ascii="Arial" w:hAnsi="Arial" w:cs="Arial"/>
          <w:sz w:val="22"/>
          <w:szCs w:val="22"/>
        </w:rPr>
        <w:t>Прогнозируемые в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году безвозмездные поступления составят </w:t>
      </w:r>
      <w:r>
        <w:rPr>
          <w:rFonts w:ascii="Arial" w:hAnsi="Arial" w:cs="Arial"/>
          <w:sz w:val="22"/>
          <w:szCs w:val="22"/>
        </w:rPr>
        <w:t>4464,9</w:t>
      </w:r>
      <w:r w:rsidRPr="0068549F">
        <w:rPr>
          <w:rFonts w:ascii="Arial" w:hAnsi="Arial" w:cs="Arial"/>
          <w:sz w:val="22"/>
          <w:szCs w:val="22"/>
        </w:rPr>
        <w:t xml:space="preserve"> тыс. рублей, что на </w:t>
      </w:r>
      <w:r>
        <w:rPr>
          <w:rFonts w:ascii="Arial" w:hAnsi="Arial" w:cs="Arial"/>
          <w:sz w:val="22"/>
          <w:szCs w:val="22"/>
        </w:rPr>
        <w:t>1821,1</w:t>
      </w:r>
      <w:r w:rsidRPr="0068549F">
        <w:rPr>
          <w:rFonts w:ascii="Arial" w:hAnsi="Arial" w:cs="Arial"/>
          <w:sz w:val="22"/>
          <w:szCs w:val="22"/>
        </w:rPr>
        <w:t xml:space="preserve">,0 тыс. рублей или на </w:t>
      </w:r>
      <w:r>
        <w:rPr>
          <w:rFonts w:ascii="Arial" w:hAnsi="Arial" w:cs="Arial"/>
          <w:sz w:val="22"/>
          <w:szCs w:val="22"/>
        </w:rPr>
        <w:t>71</w:t>
      </w:r>
      <w:r w:rsidRPr="0068549F">
        <w:rPr>
          <w:rFonts w:ascii="Arial" w:hAnsi="Arial" w:cs="Arial"/>
          <w:sz w:val="22"/>
          <w:szCs w:val="22"/>
        </w:rPr>
        <w:t>% ниже ожидаемого уровня 201</w:t>
      </w:r>
      <w:r>
        <w:rPr>
          <w:rFonts w:ascii="Arial" w:hAnsi="Arial" w:cs="Arial"/>
          <w:sz w:val="22"/>
          <w:szCs w:val="22"/>
        </w:rPr>
        <w:t>7</w:t>
      </w:r>
      <w:r w:rsidRPr="0068549F">
        <w:rPr>
          <w:rFonts w:ascii="Arial" w:hAnsi="Arial" w:cs="Arial"/>
          <w:sz w:val="22"/>
          <w:szCs w:val="22"/>
        </w:rPr>
        <w:t xml:space="preserve"> года; в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году в размере </w:t>
      </w:r>
      <w:r>
        <w:rPr>
          <w:rFonts w:ascii="Arial" w:hAnsi="Arial" w:cs="Arial"/>
          <w:sz w:val="22"/>
          <w:szCs w:val="22"/>
        </w:rPr>
        <w:t>3811,0</w:t>
      </w:r>
      <w:r w:rsidRPr="0068549F">
        <w:rPr>
          <w:rFonts w:ascii="Arial" w:hAnsi="Arial" w:cs="Arial"/>
          <w:sz w:val="22"/>
          <w:szCs w:val="22"/>
        </w:rPr>
        <w:t xml:space="preserve"> тыс. рублей, что на </w:t>
      </w:r>
      <w:r>
        <w:rPr>
          <w:rFonts w:ascii="Arial" w:hAnsi="Arial" w:cs="Arial"/>
          <w:sz w:val="22"/>
          <w:szCs w:val="22"/>
        </w:rPr>
        <w:t>658,9</w:t>
      </w:r>
      <w:r w:rsidRPr="0068549F">
        <w:rPr>
          <w:rFonts w:ascii="Arial" w:hAnsi="Arial" w:cs="Arial"/>
          <w:sz w:val="22"/>
          <w:szCs w:val="22"/>
        </w:rPr>
        <w:t xml:space="preserve"> тыс. рублей ниже уровня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года; в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году в размере </w:t>
      </w:r>
      <w:r>
        <w:rPr>
          <w:rFonts w:ascii="Arial" w:hAnsi="Arial" w:cs="Arial"/>
          <w:sz w:val="22"/>
          <w:szCs w:val="22"/>
        </w:rPr>
        <w:t>3842,3</w:t>
      </w:r>
      <w:r w:rsidRPr="0068549F">
        <w:rPr>
          <w:rFonts w:ascii="Arial" w:hAnsi="Arial" w:cs="Arial"/>
          <w:sz w:val="22"/>
          <w:szCs w:val="22"/>
        </w:rPr>
        <w:t xml:space="preserve"> тыс. рублей или на </w:t>
      </w:r>
      <w:r>
        <w:rPr>
          <w:rFonts w:ascii="Arial" w:hAnsi="Arial" w:cs="Arial"/>
          <w:sz w:val="22"/>
          <w:szCs w:val="22"/>
        </w:rPr>
        <w:t>31,3</w:t>
      </w:r>
      <w:r w:rsidRPr="0068549F">
        <w:rPr>
          <w:rFonts w:ascii="Arial" w:hAnsi="Arial" w:cs="Arial"/>
          <w:sz w:val="22"/>
          <w:szCs w:val="22"/>
        </w:rPr>
        <w:t xml:space="preserve"> тыс. рублей ниже ожидаемого уровня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года).</w:t>
      </w:r>
      <w:proofErr w:type="gramEnd"/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 xml:space="preserve"> </w:t>
      </w:r>
    </w:p>
    <w:p w:rsidR="00774C81" w:rsidRPr="0068549F" w:rsidRDefault="00774C81" w:rsidP="00774C81">
      <w:pPr>
        <w:pStyle w:val="a9"/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8549F">
        <w:rPr>
          <w:rFonts w:ascii="Arial" w:hAnsi="Arial" w:cs="Arial"/>
          <w:b/>
          <w:bCs/>
          <w:sz w:val="22"/>
          <w:szCs w:val="22"/>
          <w:u w:val="single"/>
        </w:rPr>
        <w:t>РАСХОДЫ МЕСТНОГО БЮДЖЕТА</w:t>
      </w:r>
    </w:p>
    <w:p w:rsidR="00774C81" w:rsidRPr="0068549F" w:rsidRDefault="00774C81" w:rsidP="00774C81">
      <w:pPr>
        <w:pStyle w:val="ConsPlusNormal"/>
        <w:ind w:firstLine="709"/>
        <w:jc w:val="both"/>
        <w:rPr>
          <w:bCs/>
          <w:sz w:val="22"/>
          <w:szCs w:val="22"/>
        </w:rPr>
      </w:pP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Расходы местного бюджета на 201</w:t>
      </w:r>
      <w:r>
        <w:rPr>
          <w:rFonts w:ascii="Arial" w:hAnsi="Arial" w:cs="Arial"/>
          <w:sz w:val="22"/>
          <w:szCs w:val="22"/>
        </w:rPr>
        <w:t xml:space="preserve">8 </w:t>
      </w:r>
      <w:r w:rsidRPr="0068549F">
        <w:rPr>
          <w:rFonts w:ascii="Arial" w:hAnsi="Arial" w:cs="Arial"/>
          <w:sz w:val="22"/>
          <w:szCs w:val="22"/>
        </w:rPr>
        <w:t xml:space="preserve">год сформированы в сумме </w:t>
      </w:r>
      <w:r>
        <w:rPr>
          <w:rFonts w:ascii="Arial" w:hAnsi="Arial" w:cs="Arial"/>
          <w:sz w:val="22"/>
          <w:szCs w:val="22"/>
        </w:rPr>
        <w:t>4464,9</w:t>
      </w:r>
      <w:r w:rsidRPr="00685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549F">
        <w:rPr>
          <w:rFonts w:ascii="Arial" w:hAnsi="Arial" w:cs="Arial"/>
          <w:sz w:val="22"/>
          <w:szCs w:val="22"/>
        </w:rPr>
        <w:t>тыс</w:t>
      </w:r>
      <w:proofErr w:type="gramStart"/>
      <w:r w:rsidRPr="0068549F">
        <w:rPr>
          <w:rFonts w:ascii="Arial" w:hAnsi="Arial" w:cs="Arial"/>
          <w:sz w:val="22"/>
          <w:szCs w:val="22"/>
        </w:rPr>
        <w:t>.р</w:t>
      </w:r>
      <w:proofErr w:type="gramEnd"/>
      <w:r w:rsidRPr="0068549F">
        <w:rPr>
          <w:rFonts w:ascii="Arial" w:hAnsi="Arial" w:cs="Arial"/>
          <w:sz w:val="22"/>
          <w:szCs w:val="22"/>
        </w:rPr>
        <w:t>ублей</w:t>
      </w:r>
      <w:proofErr w:type="spellEnd"/>
      <w:r w:rsidRPr="0068549F">
        <w:rPr>
          <w:rFonts w:ascii="Arial" w:hAnsi="Arial" w:cs="Arial"/>
          <w:sz w:val="22"/>
          <w:szCs w:val="22"/>
        </w:rPr>
        <w:t xml:space="preserve">, что составляет </w:t>
      </w:r>
      <w:r>
        <w:rPr>
          <w:rFonts w:ascii="Arial" w:hAnsi="Arial" w:cs="Arial"/>
          <w:sz w:val="22"/>
          <w:szCs w:val="22"/>
        </w:rPr>
        <w:t>70</w:t>
      </w:r>
      <w:r w:rsidRPr="0068549F">
        <w:rPr>
          <w:rFonts w:ascii="Arial" w:hAnsi="Arial" w:cs="Arial"/>
          <w:sz w:val="22"/>
          <w:szCs w:val="22"/>
        </w:rPr>
        <w:t xml:space="preserve"> % от общей суммы необходимых средств. 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При формировании расходной части местного бюджета учитывались следующие основные  критерии: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lastRenderedPageBreak/>
        <w:t xml:space="preserve">Определение объема расходов на государственное управление осуществлялось в соответствии с действующей в настоящее время структурой </w:t>
      </w:r>
      <w:r>
        <w:rPr>
          <w:rFonts w:ascii="Arial" w:hAnsi="Arial" w:cs="Arial"/>
          <w:sz w:val="22"/>
          <w:szCs w:val="22"/>
        </w:rPr>
        <w:t xml:space="preserve">органа </w:t>
      </w:r>
      <w:r w:rsidRPr="0068549F">
        <w:rPr>
          <w:rFonts w:ascii="Arial" w:hAnsi="Arial" w:cs="Arial"/>
          <w:sz w:val="22"/>
          <w:szCs w:val="22"/>
        </w:rPr>
        <w:t>исполнительн</w:t>
      </w:r>
      <w:r>
        <w:rPr>
          <w:rFonts w:ascii="Arial" w:hAnsi="Arial" w:cs="Arial"/>
          <w:sz w:val="22"/>
          <w:szCs w:val="22"/>
        </w:rPr>
        <w:t xml:space="preserve">ой </w:t>
      </w:r>
      <w:r w:rsidRPr="0068549F">
        <w:rPr>
          <w:rFonts w:ascii="Arial" w:hAnsi="Arial" w:cs="Arial"/>
          <w:sz w:val="22"/>
          <w:szCs w:val="22"/>
        </w:rPr>
        <w:t>власти Балаганкинского сельского поселения.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F78C2">
        <w:rPr>
          <w:rFonts w:ascii="Arial" w:hAnsi="Arial" w:cs="Arial"/>
          <w:b/>
          <w:bCs/>
          <w:sz w:val="22"/>
          <w:szCs w:val="22"/>
          <w:u w:val="single"/>
        </w:rPr>
        <w:t>Раздел 01 «Общегосударственные вопросы»</w:t>
      </w:r>
    </w:p>
    <w:p w:rsidR="00774C81" w:rsidRDefault="00774C81" w:rsidP="00774C81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color w:val="000000"/>
          <w:sz w:val="22"/>
          <w:szCs w:val="22"/>
        </w:rPr>
        <w:t xml:space="preserve">Объем расходов по данному разделу запланирован </w:t>
      </w:r>
      <w:r w:rsidRPr="0068549F">
        <w:rPr>
          <w:rFonts w:ascii="Arial" w:hAnsi="Arial" w:cs="Arial"/>
          <w:sz w:val="22"/>
          <w:szCs w:val="22"/>
        </w:rPr>
        <w:t>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1883,9</w:t>
      </w:r>
      <w:r w:rsidRPr="0068549F">
        <w:rPr>
          <w:rFonts w:ascii="Arial" w:hAnsi="Arial" w:cs="Arial"/>
          <w:sz w:val="22"/>
          <w:szCs w:val="22"/>
        </w:rPr>
        <w:t xml:space="preserve"> тыс. рублей, на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1883,9</w:t>
      </w:r>
      <w:r w:rsidRPr="0068549F">
        <w:rPr>
          <w:rFonts w:ascii="Arial" w:hAnsi="Arial" w:cs="Arial"/>
          <w:sz w:val="22"/>
          <w:szCs w:val="22"/>
        </w:rPr>
        <w:t xml:space="preserve"> тыс. рублей, на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1898,1</w:t>
      </w:r>
      <w:r w:rsidRPr="0068549F">
        <w:rPr>
          <w:rFonts w:ascii="Arial" w:hAnsi="Arial" w:cs="Arial"/>
          <w:sz w:val="22"/>
          <w:szCs w:val="22"/>
        </w:rPr>
        <w:t xml:space="preserve"> тыс. рублей.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В рамках раздела учтены бюджетные ассигнования на функционирование высшего должностного лица местной администрации, органов исполнительной власти местной администрации и другие общегосударственные вопросы.</w:t>
      </w:r>
    </w:p>
    <w:p w:rsidR="00774C81" w:rsidRPr="0068549F" w:rsidRDefault="00774C81" w:rsidP="00774C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 xml:space="preserve">На обеспечение выполнения функций </w:t>
      </w:r>
      <w:r>
        <w:rPr>
          <w:rFonts w:ascii="Arial" w:hAnsi="Arial" w:cs="Arial"/>
          <w:sz w:val="22"/>
          <w:szCs w:val="22"/>
        </w:rPr>
        <w:t>г</w:t>
      </w:r>
      <w:r w:rsidRPr="0068549F">
        <w:rPr>
          <w:rFonts w:ascii="Arial" w:hAnsi="Arial" w:cs="Arial"/>
          <w:sz w:val="22"/>
          <w:szCs w:val="22"/>
        </w:rPr>
        <w:t>лавы местной администрации предусмотрены расходы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год в сумме </w:t>
      </w:r>
      <w:r>
        <w:rPr>
          <w:rFonts w:ascii="Arial" w:hAnsi="Arial" w:cs="Arial"/>
          <w:sz w:val="22"/>
          <w:szCs w:val="22"/>
        </w:rPr>
        <w:t>327</w:t>
      </w:r>
      <w:r w:rsidRPr="0068549F">
        <w:rPr>
          <w:rFonts w:ascii="Arial" w:hAnsi="Arial" w:cs="Arial"/>
          <w:sz w:val="22"/>
          <w:szCs w:val="22"/>
        </w:rPr>
        <w:t xml:space="preserve"> тыс. рублей, на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327,</w:t>
      </w:r>
      <w:r w:rsidRPr="0068549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68549F">
        <w:rPr>
          <w:rFonts w:ascii="Arial" w:hAnsi="Arial" w:cs="Arial"/>
          <w:sz w:val="22"/>
          <w:szCs w:val="22"/>
        </w:rPr>
        <w:t>тыс. рублей и на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327</w:t>
      </w:r>
      <w:r w:rsidRPr="0068549F">
        <w:rPr>
          <w:rFonts w:ascii="Arial" w:hAnsi="Arial" w:cs="Arial"/>
          <w:sz w:val="22"/>
          <w:szCs w:val="22"/>
        </w:rPr>
        <w:t>,0 тыс. рублей.</w:t>
      </w:r>
    </w:p>
    <w:p w:rsidR="00774C81" w:rsidRPr="0068549F" w:rsidRDefault="00774C81" w:rsidP="00774C81">
      <w:pPr>
        <w:pStyle w:val="21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 xml:space="preserve">Предусмотрены бюджетные ассигнования на обеспечение </w:t>
      </w:r>
      <w:proofErr w:type="gramStart"/>
      <w:r w:rsidRPr="0068549F">
        <w:rPr>
          <w:rFonts w:ascii="Arial" w:hAnsi="Arial" w:cs="Arial"/>
          <w:sz w:val="22"/>
          <w:szCs w:val="22"/>
        </w:rPr>
        <w:t>выполнения функций органа исполнительной власти местной администрации</w:t>
      </w:r>
      <w:proofErr w:type="gramEnd"/>
      <w:r w:rsidRPr="0068549F">
        <w:rPr>
          <w:rFonts w:ascii="Arial" w:hAnsi="Arial" w:cs="Arial"/>
          <w:sz w:val="22"/>
          <w:szCs w:val="22"/>
        </w:rPr>
        <w:t xml:space="preserve">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1551,2</w:t>
      </w:r>
      <w:r w:rsidRPr="0068549F">
        <w:rPr>
          <w:rFonts w:ascii="Arial" w:hAnsi="Arial" w:cs="Arial"/>
          <w:sz w:val="22"/>
          <w:szCs w:val="22"/>
        </w:rPr>
        <w:t xml:space="preserve"> тыс. рублей, на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1551,2</w:t>
      </w:r>
      <w:r w:rsidRPr="0068549F">
        <w:rPr>
          <w:rFonts w:ascii="Arial" w:hAnsi="Arial" w:cs="Arial"/>
          <w:sz w:val="22"/>
          <w:szCs w:val="22"/>
        </w:rPr>
        <w:t xml:space="preserve"> тыс. рублей, на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1565,4</w:t>
      </w:r>
      <w:r w:rsidRPr="0068549F">
        <w:rPr>
          <w:rFonts w:ascii="Arial" w:hAnsi="Arial" w:cs="Arial"/>
          <w:sz w:val="22"/>
          <w:szCs w:val="22"/>
        </w:rPr>
        <w:t xml:space="preserve"> тыс. рублей. </w:t>
      </w:r>
    </w:p>
    <w:p w:rsidR="00774C81" w:rsidRPr="0068549F" w:rsidRDefault="00774C81" w:rsidP="00774C81">
      <w:pPr>
        <w:shd w:val="clear" w:color="auto" w:fill="FFFFFF"/>
        <w:tabs>
          <w:tab w:val="left" w:pos="2933"/>
          <w:tab w:val="left" w:pos="4733"/>
          <w:tab w:val="left" w:pos="6821"/>
          <w:tab w:val="left" w:pos="9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Объем резервного фонда Администрации Балаганкинского муниципального образования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и на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>и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годы определен в сумме 5 тыс. рублей ежегодно. </w:t>
      </w:r>
    </w:p>
    <w:p w:rsidR="00774C81" w:rsidRPr="0068549F" w:rsidRDefault="00774C81" w:rsidP="00774C81">
      <w:pPr>
        <w:tabs>
          <w:tab w:val="left" w:pos="648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8549F">
        <w:rPr>
          <w:rFonts w:ascii="Arial" w:hAnsi="Arial" w:cs="Arial"/>
          <w:sz w:val="22"/>
          <w:szCs w:val="22"/>
        </w:rPr>
        <w:t>По другим общегосударственным вопросам раздела 0113 предусмотрены расходы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</w:t>
      </w:r>
      <w:r>
        <w:rPr>
          <w:rFonts w:ascii="Arial" w:hAnsi="Arial" w:cs="Arial"/>
          <w:sz w:val="22"/>
          <w:szCs w:val="22"/>
        </w:rPr>
        <w:t xml:space="preserve"> 0,7 тыс. рублей,</w:t>
      </w:r>
      <w:r w:rsidRPr="0068549F">
        <w:rPr>
          <w:rFonts w:ascii="Arial" w:hAnsi="Arial" w:cs="Arial"/>
          <w:sz w:val="22"/>
          <w:szCs w:val="22"/>
        </w:rPr>
        <w:t xml:space="preserve"> на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и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годы в сумме</w:t>
      </w:r>
      <w:r>
        <w:rPr>
          <w:rFonts w:ascii="Arial" w:hAnsi="Arial" w:cs="Arial"/>
          <w:sz w:val="22"/>
          <w:szCs w:val="22"/>
        </w:rPr>
        <w:t xml:space="preserve"> по</w:t>
      </w:r>
      <w:r w:rsidRPr="0068549F">
        <w:rPr>
          <w:rFonts w:ascii="Arial" w:hAnsi="Arial" w:cs="Arial"/>
          <w:sz w:val="22"/>
          <w:szCs w:val="22"/>
        </w:rPr>
        <w:t xml:space="preserve"> 0,</w:t>
      </w:r>
      <w:r>
        <w:rPr>
          <w:rFonts w:ascii="Arial" w:hAnsi="Arial" w:cs="Arial"/>
          <w:sz w:val="22"/>
          <w:szCs w:val="22"/>
        </w:rPr>
        <w:t>7</w:t>
      </w:r>
      <w:r w:rsidRPr="0068549F">
        <w:rPr>
          <w:rFonts w:ascii="Arial" w:hAnsi="Arial" w:cs="Arial"/>
          <w:sz w:val="22"/>
          <w:szCs w:val="22"/>
        </w:rPr>
        <w:t>тыс. рублей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proofErr w:type="gramEnd"/>
    </w:p>
    <w:p w:rsidR="00774C81" w:rsidRPr="0068549F" w:rsidRDefault="00774C81" w:rsidP="00774C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8549F">
        <w:rPr>
          <w:rFonts w:ascii="Arial" w:hAnsi="Arial" w:cs="Arial"/>
          <w:sz w:val="22"/>
          <w:szCs w:val="22"/>
        </w:rPr>
        <w:t xml:space="preserve">           </w:t>
      </w:r>
    </w:p>
    <w:p w:rsidR="00774C81" w:rsidRDefault="00774C81" w:rsidP="00774C81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74C81" w:rsidRPr="0068549F" w:rsidRDefault="00774C81" w:rsidP="00774C81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8549F">
        <w:rPr>
          <w:rFonts w:ascii="Arial" w:hAnsi="Arial" w:cs="Arial"/>
          <w:b/>
          <w:bCs/>
          <w:sz w:val="22"/>
          <w:szCs w:val="22"/>
          <w:u w:val="single"/>
        </w:rPr>
        <w:t>Раздел 02 «Национальная оборона»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color w:val="000000"/>
          <w:sz w:val="22"/>
          <w:szCs w:val="22"/>
        </w:rPr>
        <w:t xml:space="preserve">Объем расходов по данному разделу  запланирован </w:t>
      </w:r>
      <w:r w:rsidRPr="0068549F">
        <w:rPr>
          <w:rFonts w:ascii="Arial" w:hAnsi="Arial" w:cs="Arial"/>
          <w:sz w:val="22"/>
          <w:szCs w:val="22"/>
        </w:rPr>
        <w:t>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58,7</w:t>
      </w:r>
      <w:r w:rsidRPr="0068549F">
        <w:rPr>
          <w:rFonts w:ascii="Arial" w:hAnsi="Arial" w:cs="Arial"/>
          <w:sz w:val="22"/>
          <w:szCs w:val="22"/>
        </w:rPr>
        <w:t xml:space="preserve"> тыс. рублей, на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59,3</w:t>
      </w:r>
      <w:r w:rsidRPr="0068549F">
        <w:rPr>
          <w:rFonts w:ascii="Arial" w:hAnsi="Arial" w:cs="Arial"/>
          <w:sz w:val="22"/>
          <w:szCs w:val="22"/>
        </w:rPr>
        <w:t xml:space="preserve"> тыс. рублей, на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61,5</w:t>
      </w:r>
      <w:r w:rsidRPr="0068549F">
        <w:rPr>
          <w:rFonts w:ascii="Arial" w:hAnsi="Arial" w:cs="Arial"/>
          <w:sz w:val="22"/>
          <w:szCs w:val="22"/>
        </w:rPr>
        <w:t xml:space="preserve"> тыс. рублей на осуществление полномочий Российской Федерации по первичному воинскому учету на территориях, где отсутствуют военные комиссариаты.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8549F">
        <w:rPr>
          <w:rFonts w:ascii="Arial" w:hAnsi="Arial" w:cs="Arial"/>
          <w:b/>
          <w:bCs/>
          <w:sz w:val="22"/>
          <w:szCs w:val="22"/>
          <w:u w:val="single"/>
        </w:rPr>
        <w:t>Раздел 04 «Национальная экономика»</w:t>
      </w:r>
    </w:p>
    <w:p w:rsidR="00774C81" w:rsidRDefault="00774C81" w:rsidP="00774C81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 xml:space="preserve">Расходы по данному разделу предусмотрены </w:t>
      </w:r>
      <w:r>
        <w:rPr>
          <w:rFonts w:ascii="Arial" w:hAnsi="Arial" w:cs="Arial"/>
          <w:sz w:val="22"/>
          <w:szCs w:val="22"/>
        </w:rPr>
        <w:t>н</w:t>
      </w:r>
      <w:r w:rsidRPr="0068549F">
        <w:rPr>
          <w:rFonts w:ascii="Arial" w:hAnsi="Arial" w:cs="Arial"/>
          <w:sz w:val="22"/>
          <w:szCs w:val="22"/>
        </w:rPr>
        <w:t>а мероприятия в области дорожного хозяйства (содержание ремонт автомобильных дорог) на 201</w:t>
      </w:r>
      <w:r>
        <w:rPr>
          <w:rFonts w:ascii="Arial" w:hAnsi="Arial" w:cs="Arial"/>
          <w:sz w:val="22"/>
          <w:szCs w:val="22"/>
        </w:rPr>
        <w:t xml:space="preserve">8 </w:t>
      </w:r>
      <w:r w:rsidRPr="0068549F">
        <w:rPr>
          <w:rFonts w:ascii="Arial" w:hAnsi="Arial" w:cs="Arial"/>
          <w:sz w:val="22"/>
          <w:szCs w:val="22"/>
        </w:rPr>
        <w:t xml:space="preserve">год в сумме </w:t>
      </w:r>
      <w:r>
        <w:rPr>
          <w:rFonts w:ascii="Arial" w:hAnsi="Arial" w:cs="Arial"/>
          <w:sz w:val="22"/>
          <w:szCs w:val="22"/>
        </w:rPr>
        <w:t>117,6</w:t>
      </w:r>
      <w:r w:rsidRPr="0068549F">
        <w:rPr>
          <w:rFonts w:ascii="Arial" w:hAnsi="Arial" w:cs="Arial"/>
          <w:sz w:val="22"/>
          <w:szCs w:val="22"/>
        </w:rPr>
        <w:t xml:space="preserve"> тыс. рублей, на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132,6</w:t>
      </w:r>
      <w:r w:rsidRPr="0068549F">
        <w:rPr>
          <w:rFonts w:ascii="Arial" w:hAnsi="Arial" w:cs="Arial"/>
          <w:sz w:val="22"/>
          <w:szCs w:val="22"/>
        </w:rPr>
        <w:t xml:space="preserve"> тыс. рублей, на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134,2</w:t>
      </w:r>
      <w:r w:rsidRPr="0068549F">
        <w:rPr>
          <w:rFonts w:ascii="Arial" w:hAnsi="Arial" w:cs="Arial"/>
          <w:sz w:val="22"/>
          <w:szCs w:val="22"/>
        </w:rPr>
        <w:t xml:space="preserve"> тыс. рублей.</w:t>
      </w:r>
    </w:p>
    <w:p w:rsidR="00774C81" w:rsidRPr="0068549F" w:rsidRDefault="00774C81" w:rsidP="00774C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 xml:space="preserve">           </w:t>
      </w:r>
    </w:p>
    <w:p w:rsidR="00774C81" w:rsidRPr="0068549F" w:rsidRDefault="00774C81" w:rsidP="00774C81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8549F">
        <w:rPr>
          <w:rFonts w:ascii="Arial" w:hAnsi="Arial" w:cs="Arial"/>
          <w:b/>
          <w:bCs/>
          <w:sz w:val="22"/>
          <w:szCs w:val="22"/>
          <w:u w:val="single"/>
        </w:rPr>
        <w:t>Раздел 05 «Жилищно-коммунальное хозяйство»</w:t>
      </w:r>
    </w:p>
    <w:p w:rsidR="00774C81" w:rsidRPr="0068549F" w:rsidRDefault="00774C81" w:rsidP="00774C81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68549F">
        <w:rPr>
          <w:rFonts w:ascii="Arial" w:hAnsi="Arial" w:cs="Arial"/>
          <w:snapToGrid w:val="0"/>
          <w:sz w:val="22"/>
          <w:szCs w:val="22"/>
        </w:rPr>
        <w:t>Объем расходов по данному разделу запланирован на 201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 год в сумме </w:t>
      </w:r>
      <w:r>
        <w:rPr>
          <w:rFonts w:ascii="Arial" w:hAnsi="Arial" w:cs="Arial"/>
          <w:snapToGrid w:val="0"/>
          <w:sz w:val="22"/>
          <w:szCs w:val="22"/>
        </w:rPr>
        <w:t>75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 тыс. рублей, на 201</w:t>
      </w:r>
      <w:r>
        <w:rPr>
          <w:rFonts w:ascii="Arial" w:hAnsi="Arial" w:cs="Arial"/>
          <w:snapToGrid w:val="0"/>
          <w:sz w:val="22"/>
          <w:szCs w:val="22"/>
        </w:rPr>
        <w:t xml:space="preserve">9 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год в сумме </w:t>
      </w:r>
      <w:r>
        <w:rPr>
          <w:rFonts w:ascii="Arial" w:hAnsi="Arial" w:cs="Arial"/>
          <w:snapToGrid w:val="0"/>
          <w:sz w:val="22"/>
          <w:szCs w:val="22"/>
        </w:rPr>
        <w:t xml:space="preserve">75 </w:t>
      </w:r>
      <w:r w:rsidRPr="0068549F">
        <w:rPr>
          <w:rFonts w:ascii="Arial" w:hAnsi="Arial" w:cs="Arial"/>
          <w:snapToGrid w:val="0"/>
          <w:sz w:val="22"/>
          <w:szCs w:val="22"/>
        </w:rPr>
        <w:t>тыс. рублей, на 20</w:t>
      </w:r>
      <w:r>
        <w:rPr>
          <w:rFonts w:ascii="Arial" w:hAnsi="Arial" w:cs="Arial"/>
          <w:snapToGrid w:val="0"/>
          <w:sz w:val="22"/>
          <w:szCs w:val="22"/>
        </w:rPr>
        <w:t>20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 год в сумме </w:t>
      </w:r>
      <w:r>
        <w:rPr>
          <w:rFonts w:ascii="Arial" w:hAnsi="Arial" w:cs="Arial"/>
          <w:snapToGrid w:val="0"/>
          <w:sz w:val="22"/>
          <w:szCs w:val="22"/>
        </w:rPr>
        <w:t>75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 тыс. рублей, в том числе: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68549F">
        <w:rPr>
          <w:rFonts w:ascii="Arial" w:hAnsi="Arial" w:cs="Arial"/>
          <w:snapToGrid w:val="0"/>
          <w:sz w:val="22"/>
          <w:szCs w:val="22"/>
        </w:rPr>
        <w:t>- на поддержку коммунального хозяйства (оплата коммунальных услуг и содержание водонапорных башен) на 201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 год запланированы средства в сумме</w:t>
      </w:r>
      <w:r>
        <w:rPr>
          <w:rFonts w:ascii="Arial" w:hAnsi="Arial" w:cs="Arial"/>
          <w:snapToGrid w:val="0"/>
          <w:sz w:val="22"/>
          <w:szCs w:val="22"/>
        </w:rPr>
        <w:t xml:space="preserve"> 55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 тыс. рублей, на 201</w:t>
      </w:r>
      <w:r>
        <w:rPr>
          <w:rFonts w:ascii="Arial" w:hAnsi="Arial" w:cs="Arial"/>
          <w:snapToGrid w:val="0"/>
          <w:sz w:val="22"/>
          <w:szCs w:val="22"/>
        </w:rPr>
        <w:t>9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 год в сумме 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Pr="0068549F">
        <w:rPr>
          <w:rFonts w:ascii="Arial" w:hAnsi="Arial" w:cs="Arial"/>
          <w:snapToGrid w:val="0"/>
          <w:sz w:val="22"/>
          <w:szCs w:val="22"/>
        </w:rPr>
        <w:t>5 тыс. рублей, на 20</w:t>
      </w:r>
      <w:r>
        <w:rPr>
          <w:rFonts w:ascii="Arial" w:hAnsi="Arial" w:cs="Arial"/>
          <w:snapToGrid w:val="0"/>
          <w:sz w:val="22"/>
          <w:szCs w:val="22"/>
        </w:rPr>
        <w:t xml:space="preserve">20 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год в сумме </w:t>
      </w:r>
      <w:r>
        <w:rPr>
          <w:rFonts w:ascii="Arial" w:hAnsi="Arial" w:cs="Arial"/>
          <w:snapToGrid w:val="0"/>
          <w:sz w:val="22"/>
          <w:szCs w:val="22"/>
        </w:rPr>
        <w:t>7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5 тыс. рублей; 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68549F">
        <w:rPr>
          <w:rFonts w:ascii="Arial" w:hAnsi="Arial" w:cs="Arial"/>
          <w:snapToGrid w:val="0"/>
          <w:sz w:val="22"/>
          <w:szCs w:val="22"/>
        </w:rPr>
        <w:t>- на благоустройство поселения на 201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 год в сумме</w:t>
      </w:r>
      <w:r>
        <w:rPr>
          <w:rFonts w:ascii="Arial" w:hAnsi="Arial" w:cs="Arial"/>
          <w:snapToGrid w:val="0"/>
          <w:sz w:val="22"/>
          <w:szCs w:val="22"/>
        </w:rPr>
        <w:t xml:space="preserve"> 8</w:t>
      </w:r>
      <w:r w:rsidRPr="0068549F">
        <w:rPr>
          <w:rFonts w:ascii="Arial" w:hAnsi="Arial" w:cs="Arial"/>
          <w:snapToGrid w:val="0"/>
          <w:sz w:val="22"/>
          <w:szCs w:val="22"/>
        </w:rPr>
        <w:t>,0 тыс. рублей, на 201</w:t>
      </w:r>
      <w:r>
        <w:rPr>
          <w:rFonts w:ascii="Arial" w:hAnsi="Arial" w:cs="Arial"/>
          <w:snapToGrid w:val="0"/>
          <w:sz w:val="22"/>
          <w:szCs w:val="22"/>
        </w:rPr>
        <w:t>9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 год в сумме 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68549F">
        <w:rPr>
          <w:rFonts w:ascii="Arial" w:hAnsi="Arial" w:cs="Arial"/>
          <w:snapToGrid w:val="0"/>
          <w:sz w:val="22"/>
          <w:szCs w:val="22"/>
        </w:rPr>
        <w:t>,0 тыс. рублей, на 20</w:t>
      </w:r>
      <w:r>
        <w:rPr>
          <w:rFonts w:ascii="Arial" w:hAnsi="Arial" w:cs="Arial"/>
          <w:snapToGrid w:val="0"/>
          <w:sz w:val="22"/>
          <w:szCs w:val="22"/>
        </w:rPr>
        <w:t>20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 год в сумме 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68549F">
        <w:rPr>
          <w:rFonts w:ascii="Arial" w:hAnsi="Arial" w:cs="Arial"/>
          <w:snapToGrid w:val="0"/>
          <w:sz w:val="22"/>
          <w:szCs w:val="22"/>
        </w:rPr>
        <w:t>,0 тыс. рублей. Уборка территорий, улиц, на 201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г. в сумме </w:t>
      </w:r>
      <w:r>
        <w:rPr>
          <w:rFonts w:ascii="Arial" w:hAnsi="Arial" w:cs="Arial"/>
          <w:snapToGrid w:val="0"/>
          <w:sz w:val="22"/>
          <w:szCs w:val="22"/>
        </w:rPr>
        <w:t>2</w:t>
      </w:r>
      <w:r w:rsidRPr="0068549F">
        <w:rPr>
          <w:rFonts w:ascii="Arial" w:hAnsi="Arial" w:cs="Arial"/>
          <w:snapToGrid w:val="0"/>
          <w:sz w:val="22"/>
          <w:szCs w:val="22"/>
        </w:rPr>
        <w:t>,0 тыс. рублей,  на 201</w:t>
      </w:r>
      <w:r>
        <w:rPr>
          <w:rFonts w:ascii="Arial" w:hAnsi="Arial" w:cs="Arial"/>
          <w:snapToGrid w:val="0"/>
          <w:sz w:val="22"/>
          <w:szCs w:val="22"/>
        </w:rPr>
        <w:t>9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г. в сумме  </w:t>
      </w:r>
      <w:r>
        <w:rPr>
          <w:rFonts w:ascii="Arial" w:hAnsi="Arial" w:cs="Arial"/>
          <w:snapToGrid w:val="0"/>
          <w:sz w:val="22"/>
          <w:szCs w:val="22"/>
        </w:rPr>
        <w:t>2</w:t>
      </w:r>
      <w:r w:rsidRPr="0068549F">
        <w:rPr>
          <w:rFonts w:ascii="Arial" w:hAnsi="Arial" w:cs="Arial"/>
          <w:snapToGrid w:val="0"/>
          <w:sz w:val="22"/>
          <w:szCs w:val="22"/>
        </w:rPr>
        <w:t>,0 тыс. рублей, на 20</w:t>
      </w:r>
      <w:r>
        <w:rPr>
          <w:rFonts w:ascii="Arial" w:hAnsi="Arial" w:cs="Arial"/>
          <w:snapToGrid w:val="0"/>
          <w:sz w:val="22"/>
          <w:szCs w:val="22"/>
        </w:rPr>
        <w:t>20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г. в сумме  </w:t>
      </w:r>
      <w:r>
        <w:rPr>
          <w:rFonts w:ascii="Arial" w:hAnsi="Arial" w:cs="Arial"/>
          <w:snapToGrid w:val="0"/>
          <w:sz w:val="22"/>
          <w:szCs w:val="22"/>
        </w:rPr>
        <w:t>2</w:t>
      </w:r>
      <w:r w:rsidRPr="0068549F">
        <w:rPr>
          <w:rFonts w:ascii="Arial" w:hAnsi="Arial" w:cs="Arial"/>
          <w:snapToGrid w:val="0"/>
          <w:sz w:val="22"/>
          <w:szCs w:val="22"/>
        </w:rPr>
        <w:t>,0 тыс.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рублей     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68549F">
        <w:rPr>
          <w:rFonts w:ascii="Arial" w:hAnsi="Arial" w:cs="Arial"/>
          <w:snapToGrid w:val="0"/>
          <w:sz w:val="22"/>
          <w:szCs w:val="22"/>
        </w:rPr>
        <w:t>по муниципальной программе "Переселение граждан из ветхого и аварийного жилищного фонда в Балаганки</w:t>
      </w:r>
      <w:r>
        <w:rPr>
          <w:rFonts w:ascii="Arial" w:hAnsi="Arial" w:cs="Arial"/>
          <w:snapToGrid w:val="0"/>
          <w:sz w:val="22"/>
          <w:szCs w:val="22"/>
        </w:rPr>
        <w:t>нском муниципальном образовании" на период 2014-2020 годы п</w:t>
      </w:r>
      <w:r w:rsidRPr="0068549F">
        <w:rPr>
          <w:rFonts w:ascii="Arial" w:hAnsi="Arial" w:cs="Arial"/>
          <w:snapToGrid w:val="0"/>
          <w:sz w:val="22"/>
          <w:szCs w:val="22"/>
        </w:rPr>
        <w:t>редусмотрено на период 201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68549F">
        <w:rPr>
          <w:rFonts w:ascii="Arial" w:hAnsi="Arial" w:cs="Arial"/>
          <w:snapToGrid w:val="0"/>
          <w:sz w:val="22"/>
          <w:szCs w:val="22"/>
        </w:rPr>
        <w:t>-20</w:t>
      </w:r>
      <w:r>
        <w:rPr>
          <w:rFonts w:ascii="Arial" w:hAnsi="Arial" w:cs="Arial"/>
          <w:snapToGrid w:val="0"/>
          <w:sz w:val="22"/>
          <w:szCs w:val="22"/>
        </w:rPr>
        <w:t>20</w:t>
      </w:r>
      <w:r w:rsidRPr="0068549F">
        <w:rPr>
          <w:rFonts w:ascii="Arial" w:hAnsi="Arial" w:cs="Arial"/>
          <w:snapToGrid w:val="0"/>
          <w:sz w:val="22"/>
          <w:szCs w:val="22"/>
        </w:rPr>
        <w:t xml:space="preserve"> годов в сумме 10,0 тыс. рублей ежегодно;</w:t>
      </w:r>
    </w:p>
    <w:p w:rsidR="00774C81" w:rsidRPr="0068549F" w:rsidRDefault="00774C81" w:rsidP="00774C81">
      <w:pPr>
        <w:pStyle w:val="ab"/>
        <w:ind w:firstLine="709"/>
        <w:rPr>
          <w:rFonts w:ascii="Arial" w:hAnsi="Arial" w:cs="Arial"/>
          <w:bCs/>
          <w:sz w:val="22"/>
          <w:szCs w:val="22"/>
          <w:u w:val="single"/>
        </w:rPr>
      </w:pPr>
      <w:r w:rsidRPr="0068549F">
        <w:rPr>
          <w:rFonts w:ascii="Arial" w:hAnsi="Arial" w:cs="Arial"/>
          <w:sz w:val="22"/>
          <w:szCs w:val="22"/>
        </w:rPr>
        <w:t xml:space="preserve"> </w:t>
      </w:r>
      <w:r w:rsidRPr="0068549F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774C81" w:rsidRPr="0068549F" w:rsidRDefault="00774C81" w:rsidP="00774C81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8549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Раздел 08 «Культура»</w:t>
      </w:r>
    </w:p>
    <w:p w:rsidR="00774C81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Расходы по данному разделу предусмотрены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1659,6</w:t>
      </w:r>
      <w:r w:rsidRPr="0068549F">
        <w:rPr>
          <w:rFonts w:ascii="Arial" w:hAnsi="Arial" w:cs="Arial"/>
          <w:sz w:val="22"/>
          <w:szCs w:val="22"/>
        </w:rPr>
        <w:t xml:space="preserve"> тыс. рублей, на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год в сумме  </w:t>
      </w:r>
      <w:r>
        <w:rPr>
          <w:rFonts w:ascii="Arial" w:hAnsi="Arial" w:cs="Arial"/>
          <w:sz w:val="22"/>
          <w:szCs w:val="22"/>
        </w:rPr>
        <w:t>1570,2</w:t>
      </w:r>
      <w:r w:rsidRPr="0068549F">
        <w:rPr>
          <w:rFonts w:ascii="Arial" w:hAnsi="Arial" w:cs="Arial"/>
          <w:sz w:val="22"/>
          <w:szCs w:val="22"/>
        </w:rPr>
        <w:t xml:space="preserve"> тыс. рублей, на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1583,5</w:t>
      </w:r>
      <w:r w:rsidRPr="0068549F">
        <w:rPr>
          <w:rFonts w:ascii="Arial" w:hAnsi="Arial" w:cs="Arial"/>
          <w:sz w:val="22"/>
          <w:szCs w:val="22"/>
        </w:rPr>
        <w:t xml:space="preserve"> тыс. рублей. </w:t>
      </w:r>
    </w:p>
    <w:p w:rsidR="00774C81" w:rsidRPr="0068549F" w:rsidRDefault="00774C81" w:rsidP="00774C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- для содержания и обеспечения деятельности Домов культуры предусмотрены расходы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1453,6</w:t>
      </w:r>
      <w:r w:rsidRPr="0068549F">
        <w:rPr>
          <w:rFonts w:ascii="Arial" w:hAnsi="Arial" w:cs="Arial"/>
          <w:sz w:val="22"/>
          <w:szCs w:val="22"/>
        </w:rPr>
        <w:t xml:space="preserve"> тыс. рублей, на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1364,2</w:t>
      </w:r>
      <w:r w:rsidRPr="0068549F">
        <w:rPr>
          <w:rFonts w:ascii="Arial" w:hAnsi="Arial" w:cs="Arial"/>
          <w:sz w:val="22"/>
          <w:szCs w:val="22"/>
        </w:rPr>
        <w:t xml:space="preserve"> тыс. рублей, на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1377,5</w:t>
      </w:r>
      <w:r w:rsidRPr="0068549F">
        <w:rPr>
          <w:rFonts w:ascii="Arial" w:hAnsi="Arial" w:cs="Arial"/>
          <w:sz w:val="22"/>
          <w:szCs w:val="22"/>
        </w:rPr>
        <w:t xml:space="preserve"> тыс. рублей;</w:t>
      </w:r>
    </w:p>
    <w:p w:rsidR="00774C81" w:rsidRPr="0068549F" w:rsidRDefault="00774C81" w:rsidP="00774C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- для содержания и обеспечения деятельности библиотеки предусмотрены расходы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206</w:t>
      </w:r>
      <w:r w:rsidRPr="0068549F">
        <w:rPr>
          <w:rFonts w:ascii="Arial" w:hAnsi="Arial" w:cs="Arial"/>
          <w:sz w:val="22"/>
          <w:szCs w:val="22"/>
        </w:rPr>
        <w:t>,0 тыс. рублей, на 20</w:t>
      </w:r>
      <w:r>
        <w:rPr>
          <w:rFonts w:ascii="Arial" w:hAnsi="Arial" w:cs="Arial"/>
          <w:sz w:val="22"/>
          <w:szCs w:val="22"/>
        </w:rPr>
        <w:t>19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206</w:t>
      </w:r>
      <w:r w:rsidRPr="0068549F">
        <w:rPr>
          <w:rFonts w:ascii="Arial" w:hAnsi="Arial" w:cs="Arial"/>
          <w:sz w:val="22"/>
          <w:szCs w:val="22"/>
        </w:rPr>
        <w:t xml:space="preserve">,0 тыс. рублей, на 2019 год в сумме </w:t>
      </w:r>
      <w:r>
        <w:rPr>
          <w:rFonts w:ascii="Arial" w:hAnsi="Arial" w:cs="Arial"/>
          <w:sz w:val="22"/>
          <w:szCs w:val="22"/>
        </w:rPr>
        <w:t>206</w:t>
      </w:r>
      <w:r w:rsidRPr="0068549F">
        <w:rPr>
          <w:rFonts w:ascii="Arial" w:hAnsi="Arial" w:cs="Arial"/>
          <w:sz w:val="22"/>
          <w:szCs w:val="22"/>
        </w:rPr>
        <w:t>,0 тыс. рублей</w:t>
      </w:r>
      <w:r>
        <w:rPr>
          <w:rFonts w:ascii="Arial" w:hAnsi="Arial" w:cs="Arial"/>
          <w:sz w:val="22"/>
          <w:szCs w:val="22"/>
        </w:rPr>
        <w:t>;</w:t>
      </w:r>
    </w:p>
    <w:p w:rsidR="00774C81" w:rsidRPr="0068549F" w:rsidRDefault="00774C81" w:rsidP="00774C81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74C81" w:rsidRPr="0068549F" w:rsidRDefault="00774C81" w:rsidP="00774C81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8549F">
        <w:rPr>
          <w:rFonts w:ascii="Arial" w:hAnsi="Arial" w:cs="Arial"/>
          <w:b/>
          <w:bCs/>
          <w:sz w:val="22"/>
          <w:szCs w:val="22"/>
          <w:u w:val="single"/>
        </w:rPr>
        <w:t>Раздел 10 «Социальная политика»</w:t>
      </w:r>
    </w:p>
    <w:p w:rsidR="00774C81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Объем расходов по данному разделу запланирован</w:t>
      </w:r>
      <w:r>
        <w:rPr>
          <w:rFonts w:ascii="Arial" w:hAnsi="Arial" w:cs="Arial"/>
          <w:sz w:val="22"/>
          <w:szCs w:val="22"/>
        </w:rPr>
        <w:t xml:space="preserve"> на выплату </w:t>
      </w:r>
      <w:r w:rsidRPr="007B5E25">
        <w:rPr>
          <w:rFonts w:ascii="Arial" w:hAnsi="Arial" w:cs="Arial"/>
          <w:sz w:val="22"/>
          <w:szCs w:val="22"/>
        </w:rPr>
        <w:t>пенсии за выслугу лет гражданам, замещавшим должности  муниципальной службы</w:t>
      </w:r>
      <w:r w:rsidRPr="0068549F">
        <w:rPr>
          <w:rFonts w:ascii="Arial" w:hAnsi="Arial" w:cs="Arial"/>
          <w:sz w:val="22"/>
          <w:szCs w:val="22"/>
        </w:rPr>
        <w:t xml:space="preserve"> на 201</w:t>
      </w:r>
      <w:r>
        <w:rPr>
          <w:rFonts w:ascii="Arial" w:hAnsi="Arial" w:cs="Arial"/>
          <w:sz w:val="22"/>
          <w:szCs w:val="22"/>
        </w:rPr>
        <w:t>8</w:t>
      </w:r>
      <w:r w:rsidRPr="0068549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90</w:t>
      </w:r>
      <w:r w:rsidRPr="0068549F">
        <w:rPr>
          <w:rFonts w:ascii="Arial" w:hAnsi="Arial" w:cs="Arial"/>
          <w:sz w:val="22"/>
          <w:szCs w:val="22"/>
        </w:rPr>
        <w:t>,0 тыс. рублей, на 201</w:t>
      </w:r>
      <w:r>
        <w:rPr>
          <w:rFonts w:ascii="Arial" w:hAnsi="Arial" w:cs="Arial"/>
          <w:sz w:val="22"/>
          <w:szCs w:val="22"/>
        </w:rPr>
        <w:t>9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90</w:t>
      </w:r>
      <w:r w:rsidRPr="0068549F">
        <w:rPr>
          <w:rFonts w:ascii="Arial" w:hAnsi="Arial" w:cs="Arial"/>
          <w:sz w:val="22"/>
          <w:szCs w:val="22"/>
        </w:rPr>
        <w:t>,0 тыс. рублей, на 20</w:t>
      </w:r>
      <w:r>
        <w:rPr>
          <w:rFonts w:ascii="Arial" w:hAnsi="Arial" w:cs="Arial"/>
          <w:sz w:val="22"/>
          <w:szCs w:val="22"/>
        </w:rPr>
        <w:t>20</w:t>
      </w:r>
      <w:r w:rsidRPr="0068549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90,0 тыс. рублей.</w:t>
      </w:r>
    </w:p>
    <w:p w:rsidR="00774C81" w:rsidRPr="0068549F" w:rsidRDefault="00774C81" w:rsidP="00774C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 xml:space="preserve"> </w:t>
      </w:r>
    </w:p>
    <w:p w:rsidR="00774C81" w:rsidRPr="0068549F" w:rsidRDefault="00774C81" w:rsidP="00774C81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8549F">
        <w:rPr>
          <w:rFonts w:ascii="Arial" w:hAnsi="Arial" w:cs="Arial"/>
          <w:b/>
          <w:bCs/>
          <w:sz w:val="22"/>
          <w:szCs w:val="22"/>
          <w:u w:val="single"/>
        </w:rPr>
        <w:t>Раздел 14 «Межбюджетные трансферты общего характера»</w:t>
      </w:r>
    </w:p>
    <w:p w:rsidR="00774C81" w:rsidRDefault="00774C81" w:rsidP="00774C81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 xml:space="preserve">           </w:t>
      </w:r>
    </w:p>
    <w:p w:rsidR="00774C81" w:rsidRPr="0068549F" w:rsidRDefault="00774C81" w:rsidP="00774C81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>Объем расходов по данному разделу запланирован на 201</w:t>
      </w:r>
      <w:r>
        <w:rPr>
          <w:rFonts w:ascii="Arial" w:hAnsi="Arial" w:cs="Arial"/>
          <w:sz w:val="22"/>
          <w:szCs w:val="22"/>
        </w:rPr>
        <w:t xml:space="preserve">8 </w:t>
      </w:r>
      <w:r w:rsidRPr="0068549F">
        <w:rPr>
          <w:rFonts w:ascii="Arial" w:hAnsi="Arial" w:cs="Arial"/>
          <w:sz w:val="22"/>
          <w:szCs w:val="22"/>
        </w:rPr>
        <w:t>год в сумме</w:t>
      </w:r>
      <w:r>
        <w:rPr>
          <w:rFonts w:ascii="Arial" w:hAnsi="Arial" w:cs="Arial"/>
          <w:sz w:val="22"/>
          <w:szCs w:val="22"/>
        </w:rPr>
        <w:t xml:space="preserve"> по</w:t>
      </w:r>
      <w:r w:rsidRPr="006854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580,1</w:t>
      </w:r>
      <w:r w:rsidRPr="0068549F">
        <w:rPr>
          <w:rFonts w:ascii="Arial" w:hAnsi="Arial" w:cs="Arial"/>
          <w:sz w:val="22"/>
          <w:szCs w:val="22"/>
        </w:rPr>
        <w:t xml:space="preserve"> тыс. рублей ежегодно в </w:t>
      </w:r>
      <w:proofErr w:type="spellStart"/>
      <w:r w:rsidRPr="0068549F">
        <w:rPr>
          <w:rFonts w:ascii="Arial" w:hAnsi="Arial" w:cs="Arial"/>
          <w:sz w:val="22"/>
          <w:szCs w:val="22"/>
        </w:rPr>
        <w:t>т.ч</w:t>
      </w:r>
      <w:proofErr w:type="spellEnd"/>
      <w:r w:rsidRPr="0068549F">
        <w:rPr>
          <w:rFonts w:ascii="Arial" w:hAnsi="Arial" w:cs="Arial"/>
          <w:sz w:val="22"/>
          <w:szCs w:val="22"/>
        </w:rPr>
        <w:t xml:space="preserve">. </w:t>
      </w:r>
    </w:p>
    <w:p w:rsidR="00774C81" w:rsidRPr="0068549F" w:rsidRDefault="00774C81" w:rsidP="00774C81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 xml:space="preserve"> МБТ на осуществление части переданных полномочий (КСО) по </w:t>
      </w:r>
      <w:r>
        <w:rPr>
          <w:rFonts w:ascii="Arial" w:hAnsi="Arial" w:cs="Arial"/>
          <w:sz w:val="22"/>
          <w:szCs w:val="22"/>
        </w:rPr>
        <w:t>37,3</w:t>
      </w:r>
      <w:r w:rsidRPr="0068549F">
        <w:rPr>
          <w:rFonts w:ascii="Arial" w:hAnsi="Arial" w:cs="Arial"/>
          <w:sz w:val="22"/>
          <w:szCs w:val="22"/>
        </w:rPr>
        <w:t xml:space="preserve"> тыс. рублей</w:t>
      </w:r>
    </w:p>
    <w:p w:rsidR="00774C81" w:rsidRPr="0068549F" w:rsidRDefault="00774C81" w:rsidP="00774C81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 xml:space="preserve"> МБТ на осуществление части полномочий (формирование и исполнение бюджета) в сумме </w:t>
      </w:r>
      <w:r>
        <w:rPr>
          <w:rFonts w:ascii="Arial" w:hAnsi="Arial" w:cs="Arial"/>
          <w:sz w:val="22"/>
          <w:szCs w:val="22"/>
        </w:rPr>
        <w:t>542,8 тыс. рублей.</w:t>
      </w:r>
    </w:p>
    <w:p w:rsidR="00774C81" w:rsidRPr="0068549F" w:rsidRDefault="00774C81" w:rsidP="00774C81">
      <w:pPr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jc w:val="both"/>
        <w:rPr>
          <w:rFonts w:ascii="Arial" w:hAnsi="Arial" w:cs="Arial"/>
          <w:sz w:val="22"/>
          <w:szCs w:val="22"/>
        </w:rPr>
      </w:pPr>
    </w:p>
    <w:p w:rsidR="00774C81" w:rsidRPr="0068549F" w:rsidRDefault="00774C81" w:rsidP="00774C81">
      <w:pPr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 xml:space="preserve">Глава Балаганкинского </w:t>
      </w:r>
    </w:p>
    <w:p w:rsidR="00774C81" w:rsidRPr="0068549F" w:rsidRDefault="00774C81" w:rsidP="00774C81">
      <w:pPr>
        <w:jc w:val="both"/>
        <w:rPr>
          <w:rFonts w:ascii="Arial" w:hAnsi="Arial" w:cs="Arial"/>
          <w:sz w:val="22"/>
          <w:szCs w:val="22"/>
        </w:rPr>
      </w:pPr>
      <w:r w:rsidRPr="0068549F">
        <w:rPr>
          <w:rFonts w:ascii="Arial" w:hAnsi="Arial" w:cs="Arial"/>
          <w:sz w:val="22"/>
          <w:szCs w:val="22"/>
        </w:rPr>
        <w:t xml:space="preserve">муниципального образования                                               </w:t>
      </w:r>
      <w:proofErr w:type="spellStart"/>
      <w:r w:rsidRPr="0068549F">
        <w:rPr>
          <w:rFonts w:ascii="Arial" w:hAnsi="Arial" w:cs="Arial"/>
          <w:sz w:val="22"/>
          <w:szCs w:val="22"/>
        </w:rPr>
        <w:t>О.И.Шарапова</w:t>
      </w:r>
      <w:proofErr w:type="spellEnd"/>
    </w:p>
    <w:p w:rsidR="00061845" w:rsidRDefault="00061845"/>
    <w:sectPr w:rsidR="00061845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845"/>
    <w:rsid w:val="00061845"/>
    <w:rsid w:val="001E0C0C"/>
    <w:rsid w:val="003D531E"/>
    <w:rsid w:val="00504005"/>
    <w:rsid w:val="005304CB"/>
    <w:rsid w:val="006E1E7A"/>
    <w:rsid w:val="00753683"/>
    <w:rsid w:val="00774C81"/>
    <w:rsid w:val="008A5B21"/>
    <w:rsid w:val="00AA3B10"/>
    <w:rsid w:val="00CE5DC3"/>
    <w:rsid w:val="00D156A6"/>
    <w:rsid w:val="00D457DB"/>
    <w:rsid w:val="00D71149"/>
    <w:rsid w:val="00EC6E17"/>
    <w:rsid w:val="00E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C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character" w:customStyle="1" w:styleId="a6">
    <w:name w:val="Основной текст_"/>
    <w:basedOn w:val="a0"/>
    <w:link w:val="1"/>
    <w:rsid w:val="000618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61845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1E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E7A"/>
    <w:rPr>
      <w:rFonts w:ascii="Tahom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4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Plain Text"/>
    <w:basedOn w:val="a"/>
    <w:link w:val="aa"/>
    <w:rsid w:val="00774C81"/>
    <w:rPr>
      <w:rFonts w:ascii="Courier New" w:eastAsia="MS Mincho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774C81"/>
    <w:rPr>
      <w:rFonts w:ascii="Courier New" w:eastAsia="MS Mincho" w:hAnsi="Courier New" w:cs="Times New Roman"/>
      <w:sz w:val="20"/>
      <w:szCs w:val="20"/>
    </w:rPr>
  </w:style>
  <w:style w:type="paragraph" w:customStyle="1" w:styleId="ConsPlusNormal">
    <w:name w:val="ConsPlusNormal"/>
    <w:rsid w:val="00774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774C81"/>
    <w:pPr>
      <w:ind w:firstLine="720"/>
      <w:jc w:val="both"/>
    </w:pPr>
    <w:rPr>
      <w:rFonts w:eastAsia="Times New Roman" w:cs="Times New Roman"/>
      <w:b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74C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74C81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77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b"/>
    <w:link w:val="22"/>
    <w:rsid w:val="00774C8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2">
    <w:name w:val="Красная строка 2 Знак"/>
    <w:basedOn w:val="ac"/>
    <w:link w:val="21"/>
    <w:rsid w:val="00774C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Анциферова</cp:lastModifiedBy>
  <cp:revision>11</cp:revision>
  <cp:lastPrinted>2016-12-06T10:04:00Z</cp:lastPrinted>
  <dcterms:created xsi:type="dcterms:W3CDTF">2016-12-06T01:47:00Z</dcterms:created>
  <dcterms:modified xsi:type="dcterms:W3CDTF">2018-10-23T05:42:00Z</dcterms:modified>
</cp:coreProperties>
</file>